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D02CE" w14:textId="4224EB38" w:rsidR="009F1378" w:rsidRDefault="009F1378" w:rsidP="009F1378">
      <w:pPr>
        <w:pStyle w:val="Heading1"/>
        <w:numPr>
          <w:ilvl w:val="0"/>
          <w:numId w:val="0"/>
        </w:num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Referensi</w:t>
      </w:r>
    </w:p>
    <w:p w14:paraId="1EEDE093" w14:textId="77777777" w:rsidR="00E02DE5" w:rsidRPr="00E02DE5" w:rsidRDefault="00E02DE5" w:rsidP="00E02DE5">
      <w:pPr>
        <w:tabs>
          <w:tab w:val="left" w:pos="384"/>
        </w:tabs>
        <w:suppressAutoHyphens/>
        <w:spacing w:after="0" w:line="240" w:lineRule="auto"/>
        <w:ind w:left="384" w:hanging="384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fldChar w:fldCharType="begin"/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instrText xml:space="preserve"> ADDIN ZOTERO_BIBL {"uncited":[],"omitted":[],"custom":[]} CSL_BIBLIOGRAPHY </w:instrTex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fldChar w:fldCharType="separate"/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[1]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ab/>
        <w:t xml:space="preserve">R. Amallia, Z. Hasan, U. T. Yunita, dan D. S. Wati, “Analisis Perkara Tindak Pidana Penganiayaan yang Dilakukan oleh Mario Dandy,” </w:t>
      </w:r>
      <w:r w:rsidRPr="00E02DE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zh-CN"/>
        </w:rPr>
        <w:t>SH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, vol. 16, no. 02, hlm. 16–22, Mei 2023, doi: 10.59582/sh.v16i02.724.</w:t>
      </w:r>
    </w:p>
    <w:p w14:paraId="26CD3568" w14:textId="77777777" w:rsidR="00E02DE5" w:rsidRPr="00E02DE5" w:rsidRDefault="00E02DE5" w:rsidP="00E02DE5">
      <w:pPr>
        <w:tabs>
          <w:tab w:val="left" w:pos="384"/>
        </w:tabs>
        <w:suppressAutoHyphens/>
        <w:spacing w:after="0" w:line="240" w:lineRule="auto"/>
        <w:ind w:left="384" w:hanging="384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[2]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ab/>
        <w:t xml:space="preserve">M. D. A. P. Silalahi </w:t>
      </w:r>
      <w:r w:rsidRPr="00E02DE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zh-CN"/>
        </w:rPr>
        <w:t>dkk.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 xml:space="preserve">, “Analisis Hak Asasi Manusia Dalam Penanganan Kasus Mario Dandy,” </w:t>
      </w:r>
      <w:r w:rsidRPr="00E02DE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zh-CN"/>
        </w:rPr>
        <w:t>Journal of Education Religion Humanities and Multidiciplinary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, vol. 2, no. 1, hlm. 469–473, Jun 2024, doi: 10.57235/jerumi.v2i1.1999.</w:t>
      </w:r>
    </w:p>
    <w:p w14:paraId="29868DA1" w14:textId="77777777" w:rsidR="00E02DE5" w:rsidRPr="00E02DE5" w:rsidRDefault="00E02DE5" w:rsidP="00E02DE5">
      <w:pPr>
        <w:tabs>
          <w:tab w:val="left" w:pos="384"/>
        </w:tabs>
        <w:suppressAutoHyphens/>
        <w:spacing w:after="0" w:line="240" w:lineRule="auto"/>
        <w:ind w:left="384" w:hanging="384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[3]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ab/>
        <w:t xml:space="preserve">M. A. Maulana dan Y. Candrasari, “Perbandingan Framing Terhadap Pemberitaan Kasus Penganiayaan Mario Dandy diantara News dan Tirto.id,” </w:t>
      </w:r>
      <w:r w:rsidRPr="00E02DE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zh-CN"/>
        </w:rPr>
        <w:t>Nusantara Jurnal Ilmu Pengetahuan Sosial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, vol. 11, no. 1, hlm. 231–236, Nov 2024, doi: 10.31604/jips.v11i1.2024. 231-236.</w:t>
      </w:r>
    </w:p>
    <w:p w14:paraId="29F431D5" w14:textId="77777777" w:rsidR="00E02DE5" w:rsidRPr="00E02DE5" w:rsidRDefault="00E02DE5" w:rsidP="00E02DE5">
      <w:pPr>
        <w:tabs>
          <w:tab w:val="left" w:pos="384"/>
        </w:tabs>
        <w:suppressAutoHyphens/>
        <w:spacing w:after="0" w:line="240" w:lineRule="auto"/>
        <w:ind w:left="384" w:hanging="384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[4]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ab/>
        <w:t xml:space="preserve">N. Sulaiman dan H. Yusuf, “Analisis Kasus Mario vs David Ozora Kajian Kerangka Hukum dan Implikasi Putusan 297/PID.B/2023/PN.JKR.SEL Terhadap Isu Pelecehan,” </w:t>
      </w:r>
      <w:r w:rsidRPr="00E02DE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zh-CN"/>
        </w:rPr>
        <w:t>Jurnal Intelek dan Cendikiawan Nusantara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, vol. 1, no. 2, hlm. 1844–1855, Mei 2024.</w:t>
      </w:r>
    </w:p>
    <w:p w14:paraId="182871C7" w14:textId="77777777" w:rsidR="00E02DE5" w:rsidRPr="00E02DE5" w:rsidRDefault="00E02DE5" w:rsidP="00E02DE5">
      <w:pPr>
        <w:tabs>
          <w:tab w:val="left" w:pos="384"/>
        </w:tabs>
        <w:suppressAutoHyphens/>
        <w:spacing w:after="0" w:line="240" w:lineRule="auto"/>
        <w:ind w:left="384" w:hanging="384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[5]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ab/>
        <w:t xml:space="preserve">O. Purba dan R. Silalahi, “Peran Ilmu Kedokteran Forensik Dalam Pembuktian Tindak Pidana Penganiayaan,” </w:t>
      </w:r>
      <w:r w:rsidRPr="00E02DE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zh-CN"/>
        </w:rPr>
        <w:t>Retentum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, vol. 2, no. 2, hlm. 127–133, Sep 2020, doi: 10.46930/retentum.v2i2.711.</w:t>
      </w:r>
    </w:p>
    <w:p w14:paraId="62A19803" w14:textId="77777777" w:rsidR="00E02DE5" w:rsidRPr="00E02DE5" w:rsidRDefault="00E02DE5" w:rsidP="00E02DE5">
      <w:pPr>
        <w:tabs>
          <w:tab w:val="left" w:pos="384"/>
        </w:tabs>
        <w:suppressAutoHyphens/>
        <w:spacing w:after="0" w:line="240" w:lineRule="auto"/>
        <w:ind w:left="384" w:hanging="384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[6]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ab/>
        <w:t xml:space="preserve">N. Ilyas dan M. Fernanda, “Perlindungan Hukum Terhadap Anak Pelaku Turut Serta Dalam Tindak Pidana Penganiayaan,” </w:t>
      </w:r>
      <w:r w:rsidRPr="00E02DE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zh-CN"/>
        </w:rPr>
        <w:t>Jurnal Ilmu Sosial dan Humaniora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, vol. 2, no. 9, hlm. 391–399, Jul 2024.</w:t>
      </w:r>
    </w:p>
    <w:p w14:paraId="6C51982F" w14:textId="77777777" w:rsidR="00E02DE5" w:rsidRPr="00E02DE5" w:rsidRDefault="00E02DE5" w:rsidP="00E02DE5">
      <w:pPr>
        <w:tabs>
          <w:tab w:val="left" w:pos="384"/>
        </w:tabs>
        <w:suppressAutoHyphens/>
        <w:spacing w:after="0" w:line="240" w:lineRule="auto"/>
        <w:ind w:left="384" w:hanging="384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[7]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ab/>
        <w:t xml:space="preserve">S. B. Purwaningsih dan Nuriyaning Djati, Kharisma, “Akibat Hukum dari Tindakan Menyimpang dalam Perjanjian Pembiayaan Modal Usaha dengan Pelaku UMKM,” </w:t>
      </w:r>
      <w:r w:rsidRPr="00E02DE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zh-CN"/>
        </w:rPr>
        <w:t>jcl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, vol. 1, no. 3, hlm. 1–13, Jul 2024, doi: 10.47134/jcl.v1i3.3062.</w:t>
      </w:r>
    </w:p>
    <w:p w14:paraId="11482EE6" w14:textId="77777777" w:rsidR="00E02DE5" w:rsidRPr="00E02DE5" w:rsidRDefault="00E02DE5" w:rsidP="00E02DE5">
      <w:pPr>
        <w:tabs>
          <w:tab w:val="left" w:pos="384"/>
        </w:tabs>
        <w:suppressAutoHyphens/>
        <w:spacing w:after="0" w:line="240" w:lineRule="auto"/>
        <w:ind w:left="384" w:hanging="384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[8]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ab/>
        <w:t xml:space="preserve">E. Kurnia, N. Rahmawati, S. A. Rahmah, dan R. Ammarazka, “Degradasi Moral Pejabat Negara Terhadap Kepatuhan Hukum Warga Negara Indonesia,” </w:t>
      </w:r>
      <w:r w:rsidRPr="00E02DE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zh-CN"/>
        </w:rPr>
        <w:t>Reformasi Hukum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, vol. 27, no. 2, hlm. 146–157, Sep 2023, doi: 10.46257/jrh.v27i2.589.</w:t>
      </w:r>
    </w:p>
    <w:p w14:paraId="193BEFB8" w14:textId="77777777" w:rsidR="00E02DE5" w:rsidRPr="00E02DE5" w:rsidRDefault="00E02DE5" w:rsidP="00E02DE5">
      <w:pPr>
        <w:tabs>
          <w:tab w:val="left" w:pos="384"/>
        </w:tabs>
        <w:suppressAutoHyphens/>
        <w:spacing w:after="0" w:line="240" w:lineRule="auto"/>
        <w:ind w:left="384" w:hanging="384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[9]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ab/>
        <w:t xml:space="preserve">R. Andraini, “Upaya Menumbuhkan Jiwa Kesadaran Masyarakat untuk Mentaati Hukum,” </w:t>
      </w:r>
      <w:r w:rsidRPr="00E02DE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zh-CN"/>
        </w:rPr>
        <w:t>Jurnal Penelitian Ilmu Hukum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, vol. 3, no. 3, hlm. 100–106, Jul 2023, doi: doi.org/10.56393/nomos.v3i3.1614.</w:t>
      </w:r>
    </w:p>
    <w:p w14:paraId="2B68283B" w14:textId="77777777" w:rsidR="00E02DE5" w:rsidRPr="00E02DE5" w:rsidRDefault="00E02DE5" w:rsidP="00E02DE5">
      <w:pPr>
        <w:tabs>
          <w:tab w:val="left" w:pos="384"/>
        </w:tabs>
        <w:suppressAutoHyphens/>
        <w:spacing w:after="0" w:line="240" w:lineRule="auto"/>
        <w:ind w:left="384" w:hanging="384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[10]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ab/>
        <w:t xml:space="preserve">S. Hasibuan, B. Pramono, E. H. Abra, A. Sulaiman, dan L. Fadjriani, “Analisis Yuridis Terhadap Perlindungan Hukum Bagi Saksi Dalam Tindak Pidana Menurut Undang-Undang Nomor 13 Tahun 2006 Tentang Perlindungan Saksi dan Korban,” </w:t>
      </w:r>
      <w:r w:rsidRPr="00E02DE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zh-CN"/>
        </w:rPr>
        <w:t>Jurnal Ilmu Hukum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, vol. 1, no. 1, hlm. 44–55, Mar 2022.</w:t>
      </w:r>
    </w:p>
    <w:p w14:paraId="55DC36B9" w14:textId="77777777" w:rsidR="00E02DE5" w:rsidRPr="00E02DE5" w:rsidRDefault="00E02DE5" w:rsidP="00E02DE5">
      <w:pPr>
        <w:tabs>
          <w:tab w:val="left" w:pos="384"/>
        </w:tabs>
        <w:suppressAutoHyphens/>
        <w:spacing w:after="0" w:line="240" w:lineRule="auto"/>
        <w:ind w:left="384" w:hanging="384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[11]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ab/>
        <w:t xml:space="preserve">T. Apriani, “Konsep Ganti Rugi Dalam Perbuatan Melawan Hukum dan WanprestasiI Serta Sistem Pengaturannya Dalam KUH Perdata,” </w:t>
      </w:r>
      <w:r w:rsidRPr="00E02DE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zh-CN"/>
        </w:rPr>
        <w:t>Gara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, vol. 15, no. 1, hlm. 929–934, Mar 2021, doi: 10.35327/gara.v15i1.193.</w:t>
      </w:r>
    </w:p>
    <w:p w14:paraId="7C2C487F" w14:textId="77777777" w:rsidR="00E02DE5" w:rsidRPr="00E02DE5" w:rsidRDefault="00E02DE5" w:rsidP="00E02DE5">
      <w:pPr>
        <w:tabs>
          <w:tab w:val="left" w:pos="384"/>
        </w:tabs>
        <w:suppressAutoHyphens/>
        <w:spacing w:after="0" w:line="240" w:lineRule="auto"/>
        <w:ind w:left="384" w:hanging="384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[12]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ab/>
        <w:t xml:space="preserve">E. Rosnawati, M. T. Multazam, S. D. Khotimah, dan R. R. Pahlevy, “Mediasi Penal Sebagai Alternatif Penyelesaian Perkara Kekerasan Dalam Rumah Tangga,” </w:t>
      </w:r>
      <w:r w:rsidRPr="00E02DE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zh-CN"/>
        </w:rPr>
        <w:t>J-FSH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, vol. 10, no. 2, hlm. 61–71, Des 2018, doi: 10.18860/j-fsh.v10i2.4888.</w:t>
      </w:r>
    </w:p>
    <w:p w14:paraId="49E6228D" w14:textId="77777777" w:rsidR="00E02DE5" w:rsidRPr="00E02DE5" w:rsidRDefault="00E02DE5" w:rsidP="00E02DE5">
      <w:pPr>
        <w:tabs>
          <w:tab w:val="left" w:pos="384"/>
        </w:tabs>
        <w:suppressAutoHyphens/>
        <w:spacing w:after="0" w:line="240" w:lineRule="auto"/>
        <w:ind w:left="384" w:hanging="384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[13]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ab/>
        <w:t xml:space="preserve">Sudarsono dan R. Izroiel, “Pemeriksaan Alat Bukti Elektronik Pada Persidangan Perkara Perdata dan Tata Usaha Negara,” </w:t>
      </w:r>
      <w:r w:rsidRPr="00E02DE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zh-CN"/>
        </w:rPr>
        <w:t>National Journal of Law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, vol. 3, no. 2, hlm. 353–364, Sep 2020.</w:t>
      </w:r>
    </w:p>
    <w:p w14:paraId="1CC86327" w14:textId="77777777" w:rsidR="00E02DE5" w:rsidRPr="00E02DE5" w:rsidRDefault="00E02DE5" w:rsidP="00E02DE5">
      <w:pPr>
        <w:tabs>
          <w:tab w:val="left" w:pos="384"/>
        </w:tabs>
        <w:suppressAutoHyphens/>
        <w:spacing w:after="0" w:line="240" w:lineRule="auto"/>
        <w:ind w:left="384" w:hanging="384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[14]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ab/>
        <w:t xml:space="preserve">M. R. I. Falaq dan M. T. Multazam, “Pentingnya Sertifikasi Tanda Tangan Elektronik pada Pinjaman Online,” </w:t>
      </w:r>
      <w:r w:rsidRPr="00E02DE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zh-CN"/>
        </w:rPr>
        <w:t>jcl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, vol. 1, no. 3, hlm. 9, Jul 2024, doi: 10.47134/jcl.v1i3.2957.</w:t>
      </w:r>
    </w:p>
    <w:p w14:paraId="4E90802C" w14:textId="77777777" w:rsidR="00E02DE5" w:rsidRPr="00E02DE5" w:rsidRDefault="00E02DE5" w:rsidP="00E02DE5">
      <w:pPr>
        <w:tabs>
          <w:tab w:val="left" w:pos="384"/>
        </w:tabs>
        <w:suppressAutoHyphens/>
        <w:spacing w:after="0" w:line="240" w:lineRule="auto"/>
        <w:ind w:left="384" w:hanging="384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[15]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ab/>
        <w:t xml:space="preserve">M. R. D. H. Sentana, I. W. W. Astara, dan I. N. G. Sugiartha, “Peranan Hakim untuk Mendamaikan Para Pihak yang Bersengketa dalam Perkara Perdata di Pengadilan Negeri Denpasar,” </w:t>
      </w:r>
      <w:r w:rsidRPr="00E02DE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zh-CN"/>
        </w:rPr>
        <w:t>AH</w:t>
      </w: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t>, vol. 2, no. 2, hlm. 203–208, Jul 2020, doi: 10.22225/ah.2.2.1933.203-208.</w:t>
      </w:r>
    </w:p>
    <w:p w14:paraId="2F58477C" w14:textId="42395A22" w:rsidR="009F1378" w:rsidRPr="00E02DE5" w:rsidRDefault="00E02DE5" w:rsidP="00E02DE5">
      <w:pPr>
        <w:rPr>
          <w:lang w:val="id-ID" w:eastAsia="zh-CN"/>
        </w:rPr>
      </w:pPr>
      <w:r w:rsidRPr="00E02DE5"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  <w:fldChar w:fldCharType="end"/>
      </w:r>
    </w:p>
    <w:sectPr w:rsidR="009F1378" w:rsidRPr="00E02D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DF4376"/>
    <w:multiLevelType w:val="multilevel"/>
    <w:tmpl w:val="87B23FB0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325A9"/>
    <w:multiLevelType w:val="multilevel"/>
    <w:tmpl w:val="22047612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5826716E"/>
    <w:multiLevelType w:val="hybridMultilevel"/>
    <w:tmpl w:val="B11E484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D5F0B"/>
    <w:multiLevelType w:val="hybridMultilevel"/>
    <w:tmpl w:val="F8F8E5A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A85"/>
    <w:rsid w:val="00010989"/>
    <w:rsid w:val="00260DBB"/>
    <w:rsid w:val="002A3785"/>
    <w:rsid w:val="002E18AF"/>
    <w:rsid w:val="00397A85"/>
    <w:rsid w:val="003B795A"/>
    <w:rsid w:val="003D1F3E"/>
    <w:rsid w:val="005B65A5"/>
    <w:rsid w:val="00867814"/>
    <w:rsid w:val="00951615"/>
    <w:rsid w:val="009F1378"/>
    <w:rsid w:val="00A31CE1"/>
    <w:rsid w:val="00AB602F"/>
    <w:rsid w:val="00B4367E"/>
    <w:rsid w:val="00C21C8E"/>
    <w:rsid w:val="00D813C5"/>
    <w:rsid w:val="00DC04B6"/>
    <w:rsid w:val="00E01CF2"/>
    <w:rsid w:val="00E02DE5"/>
    <w:rsid w:val="00ED4E3E"/>
    <w:rsid w:val="00F4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48C86"/>
  <w15:chartTrackingRefBased/>
  <w15:docId w15:val="{04FEA4D6-6D87-4BD5-902C-E4E189B7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1378"/>
    <w:pPr>
      <w:keepNext/>
      <w:numPr>
        <w:numId w:val="3"/>
      </w:numPr>
      <w:suppressAutoHyphens/>
      <w:spacing w:before="288" w:after="144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1378"/>
    <w:pPr>
      <w:keepNext/>
      <w:numPr>
        <w:ilvl w:val="1"/>
        <w:numId w:val="3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1378"/>
    <w:pPr>
      <w:keepNext/>
      <w:numPr>
        <w:ilvl w:val="2"/>
        <w:numId w:val="3"/>
      </w:numPr>
      <w:suppressAutoHyphens/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7A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7A8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B602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F1378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1378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1378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styleId="Bibliography">
    <w:name w:val="Bibliography"/>
    <w:basedOn w:val="Normal"/>
    <w:next w:val="Normal"/>
    <w:uiPriority w:val="37"/>
    <w:unhideWhenUsed/>
    <w:rsid w:val="009F13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JSKReferenceItem">
    <w:name w:val="JSK Reference Item"/>
    <w:basedOn w:val="Normal"/>
    <w:rsid w:val="009F1378"/>
    <w:pPr>
      <w:numPr>
        <w:numId w:val="4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VIVIED ADI FITRIANA</dc:creator>
  <cp:keywords/>
  <dc:description/>
  <cp:lastModifiedBy>VIVIED ADI FITRIANA</cp:lastModifiedBy>
  <cp:revision>5</cp:revision>
  <cp:lastPrinted>2024-08-22T02:13:00Z</cp:lastPrinted>
  <dcterms:created xsi:type="dcterms:W3CDTF">2024-08-22T04:47:00Z</dcterms:created>
  <dcterms:modified xsi:type="dcterms:W3CDTF">2024-08-27T22:10:00Z</dcterms:modified>
</cp:coreProperties>
</file>