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7CA" w:rsidRPr="008C1EBD" w:rsidRDefault="00B107CA" w:rsidP="00B107CA">
      <w:pPr>
        <w:pStyle w:val="Bibliography"/>
        <w:ind w:left="360" w:hanging="360"/>
        <w:jc w:val="both"/>
        <w:rPr>
          <w:color w:val="000000" w:themeColor="text1"/>
          <w:sz w:val="20"/>
        </w:rPr>
      </w:pPr>
      <w:r w:rsidRPr="008C1EBD">
        <w:rPr>
          <w:color w:val="000000" w:themeColor="text1"/>
          <w:sz w:val="20"/>
          <w:szCs w:val="20"/>
        </w:rPr>
        <w:fldChar w:fldCharType="begin"/>
      </w:r>
      <w:r w:rsidRPr="008C1EBD">
        <w:rPr>
          <w:color w:val="000000" w:themeColor="text1"/>
          <w:sz w:val="20"/>
          <w:szCs w:val="20"/>
        </w:rPr>
        <w:instrText xml:space="preserve"> ADDIN ZOTERO_BIBL {"uncited":[],"omitted":[],"custom":[]} CSL_BIBLIOGRAPHY </w:instrText>
      </w:r>
      <w:r w:rsidRPr="008C1EBD">
        <w:rPr>
          <w:color w:val="000000" w:themeColor="text1"/>
          <w:sz w:val="20"/>
          <w:szCs w:val="20"/>
        </w:rPr>
        <w:fldChar w:fldCharType="separate"/>
      </w:r>
    </w:p>
    <w:p w:rsidR="00B107CA" w:rsidRPr="008C1EBD" w:rsidRDefault="00B107CA" w:rsidP="00B107CA">
      <w:pPr>
        <w:pStyle w:val="Bibliography"/>
        <w:jc w:val="both"/>
        <w:rPr>
          <w:color w:val="000000" w:themeColor="text1"/>
          <w:sz w:val="20"/>
          <w:szCs w:val="20"/>
        </w:rPr>
      </w:pPr>
      <w:r w:rsidRPr="008C1EBD">
        <w:rPr>
          <w:color w:val="000000" w:themeColor="text1"/>
          <w:sz w:val="20"/>
          <w:szCs w:val="20"/>
        </w:rPr>
        <w:t xml:space="preserve">[1] Abdullah Jayadi, Beberapa Aspek Tentang Perbankan Syariah, (Mitra Pustaka, Yogyakarta, 2011). </w:t>
      </w:r>
    </w:p>
    <w:p w:rsidR="00B107CA" w:rsidRPr="008C1EBD" w:rsidRDefault="00166F89" w:rsidP="00B107CA">
      <w:pPr>
        <w:pStyle w:val="Bibliography"/>
        <w:ind w:left="360" w:hanging="360"/>
        <w:jc w:val="both"/>
        <w:rPr>
          <w:color w:val="000000" w:themeColor="text1"/>
          <w:sz w:val="20"/>
          <w:szCs w:val="20"/>
        </w:rPr>
      </w:pPr>
      <w:r w:rsidRPr="008C1EBD">
        <w:rPr>
          <w:color w:val="000000" w:themeColor="text1"/>
          <w:sz w:val="20"/>
          <w:szCs w:val="20"/>
        </w:rPr>
        <w:t>[2</w:t>
      </w:r>
      <w:r w:rsidR="00B107CA" w:rsidRPr="008C1EBD">
        <w:rPr>
          <w:color w:val="000000" w:themeColor="text1"/>
          <w:sz w:val="20"/>
          <w:szCs w:val="20"/>
        </w:rPr>
        <w:t xml:space="preserve">] Arif Furqan, et al., Islam Untuk Disiplin Ilmu Hukum, (Departemen Agama Republik Indonesia, Direktorat Jenderal Kelembagaan Agama Islam, Jakarta, 2002). </w:t>
      </w:r>
    </w:p>
    <w:p w:rsidR="00B107CA" w:rsidRPr="008C1EBD" w:rsidRDefault="00166F89" w:rsidP="00B107CA">
      <w:pPr>
        <w:pStyle w:val="Bibliography"/>
        <w:jc w:val="both"/>
        <w:rPr>
          <w:color w:val="000000" w:themeColor="text1"/>
          <w:sz w:val="20"/>
          <w:szCs w:val="20"/>
        </w:rPr>
      </w:pPr>
      <w:r w:rsidRPr="008C1EBD">
        <w:rPr>
          <w:color w:val="000000" w:themeColor="text1"/>
          <w:sz w:val="20"/>
          <w:szCs w:val="20"/>
        </w:rPr>
        <w:t>[3</w:t>
      </w:r>
      <w:r w:rsidR="00B107CA" w:rsidRPr="008C1EBD">
        <w:rPr>
          <w:color w:val="000000" w:themeColor="text1"/>
          <w:sz w:val="20"/>
          <w:szCs w:val="20"/>
        </w:rPr>
        <w:t xml:space="preserve">] G.H.S. Lumban Tobing, Peraturan Jabatan Notaris, (Jakarta: Erlangga, 1999) </w:t>
      </w:r>
    </w:p>
    <w:p w:rsidR="00B107CA" w:rsidRPr="008C1EBD" w:rsidRDefault="00B107CA" w:rsidP="00B107CA">
      <w:pPr>
        <w:pStyle w:val="Bibliography"/>
        <w:jc w:val="both"/>
        <w:rPr>
          <w:color w:val="000000" w:themeColor="text1"/>
          <w:sz w:val="20"/>
          <w:szCs w:val="20"/>
        </w:rPr>
      </w:pPr>
      <w:r w:rsidRPr="008C1EBD">
        <w:rPr>
          <w:color w:val="000000" w:themeColor="text1"/>
          <w:sz w:val="20"/>
          <w:szCs w:val="20"/>
        </w:rPr>
        <w:t>[</w:t>
      </w:r>
      <w:r w:rsidR="00166F89" w:rsidRPr="008C1EBD">
        <w:rPr>
          <w:color w:val="000000" w:themeColor="text1"/>
          <w:sz w:val="20"/>
          <w:szCs w:val="20"/>
        </w:rPr>
        <w:t>4</w:t>
      </w:r>
      <w:r w:rsidRPr="008C1EBD">
        <w:rPr>
          <w:color w:val="000000" w:themeColor="text1"/>
          <w:sz w:val="20"/>
          <w:szCs w:val="20"/>
        </w:rPr>
        <w:t xml:space="preserve">] Andi Hamzah, Asas-Asas Hukum Pidana, (Rineka Cipta, Jakarta, 2001). </w:t>
      </w:r>
    </w:p>
    <w:p w:rsidR="00B107CA" w:rsidRPr="008C1EBD" w:rsidRDefault="00B107CA" w:rsidP="00B107CA">
      <w:pPr>
        <w:rPr>
          <w:color w:val="000000" w:themeColor="text1"/>
        </w:rPr>
      </w:pPr>
      <w:r w:rsidRPr="008C1EBD">
        <w:rPr>
          <w:color w:val="000000" w:themeColor="text1"/>
          <w:sz w:val="20"/>
          <w:szCs w:val="20"/>
        </w:rPr>
        <w:t>[</w:t>
      </w:r>
      <w:r w:rsidR="00166F89" w:rsidRPr="008C1EBD">
        <w:rPr>
          <w:color w:val="000000" w:themeColor="text1"/>
          <w:sz w:val="20"/>
          <w:szCs w:val="20"/>
        </w:rPr>
        <w:t>5</w:t>
      </w:r>
      <w:r w:rsidRPr="008C1EBD">
        <w:rPr>
          <w:color w:val="000000" w:themeColor="text1"/>
          <w:sz w:val="20"/>
          <w:szCs w:val="20"/>
        </w:rPr>
        <w:t>] Abu Ishaq As-Syatibi, Al-Muwafaqat fi Ushuli asSyariah, Juz II, Al-Haiah al-Mishriyyah alAmmah lil Kitab, (Kairo, 2006).</w:t>
      </w:r>
    </w:p>
    <w:p w:rsidR="00B107CA" w:rsidRPr="008C1EBD" w:rsidRDefault="00B107CA" w:rsidP="00B107CA">
      <w:pPr>
        <w:pStyle w:val="Bibliography"/>
        <w:ind w:left="360" w:hanging="360"/>
        <w:jc w:val="both"/>
        <w:rPr>
          <w:color w:val="000000" w:themeColor="text1"/>
          <w:sz w:val="20"/>
          <w:szCs w:val="20"/>
        </w:rPr>
      </w:pPr>
    </w:p>
    <w:p w:rsidR="00B107CA" w:rsidRPr="00B107CA" w:rsidRDefault="00B107CA" w:rsidP="008C1EBD">
      <w:pPr>
        <w:pStyle w:val="Bibliography"/>
        <w:jc w:val="both"/>
      </w:pPr>
      <w:r w:rsidRPr="008C1EBD">
        <w:rPr>
          <w:color w:val="000000" w:themeColor="text1"/>
          <w:sz w:val="20"/>
          <w:szCs w:val="20"/>
        </w:rPr>
        <w:fldChar w:fldCharType="end"/>
      </w:r>
      <w:bookmarkStart w:id="0" w:name="_GoBack"/>
      <w:bookmarkEnd w:id="0"/>
    </w:p>
    <w:p w:rsidR="00ED3A9F" w:rsidRDefault="00ED3A9F" w:rsidP="00B107CA"/>
    <w:sectPr w:rsidR="00ED3A9F" w:rsidSect="00ED3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7CA"/>
    <w:rsid w:val="00166C71"/>
    <w:rsid w:val="00166F89"/>
    <w:rsid w:val="003D0B06"/>
    <w:rsid w:val="007B5375"/>
    <w:rsid w:val="008C1EBD"/>
    <w:rsid w:val="00A36544"/>
    <w:rsid w:val="00B107CA"/>
    <w:rsid w:val="00B8535C"/>
    <w:rsid w:val="00BC1632"/>
    <w:rsid w:val="00C10AFB"/>
    <w:rsid w:val="00E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DCEA2E-B276-4D7F-9129-FD72831A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7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B10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AFRIDA DEWI ALIVIA</cp:lastModifiedBy>
  <cp:revision>2</cp:revision>
  <dcterms:created xsi:type="dcterms:W3CDTF">2024-08-20T12:54:00Z</dcterms:created>
  <dcterms:modified xsi:type="dcterms:W3CDTF">2024-08-20T12:54:00Z</dcterms:modified>
</cp:coreProperties>
</file>