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F2E66" w14:textId="36F126D2" w:rsidR="001833D4" w:rsidRDefault="001833D4" w:rsidP="001833D4">
      <w:pPr>
        <w:widowControl w:val="0"/>
        <w:numPr>
          <w:ilvl w:val="0"/>
          <w:numId w:val="1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Blueprint Skala </w:t>
      </w:r>
      <w:r w:rsidRPr="00F24089">
        <w:rPr>
          <w:b/>
          <w:i/>
          <w:iCs/>
          <w:sz w:val="26"/>
          <w:szCs w:val="26"/>
        </w:rPr>
        <w:t xml:space="preserve">Future </w:t>
      </w:r>
      <w:r w:rsidRPr="00F24089">
        <w:rPr>
          <w:b/>
          <w:i/>
          <w:iCs/>
          <w:sz w:val="26"/>
          <w:szCs w:val="26"/>
        </w:rPr>
        <w:t>Time Perspective</w:t>
      </w:r>
      <w:r>
        <w:rPr>
          <w:b/>
          <w:i/>
          <w:sz w:val="26"/>
          <w:szCs w:val="26"/>
        </w:rPr>
        <w:t xml:space="preserve"> </w:t>
      </w:r>
    </w:p>
    <w:p w14:paraId="66C66705" w14:textId="77777777" w:rsidR="001833D4" w:rsidRDefault="001833D4" w:rsidP="001833D4">
      <w:pPr>
        <w:widowControl w:val="0"/>
        <w:ind w:left="720"/>
        <w:jc w:val="both"/>
      </w:pPr>
    </w:p>
    <w:tbl>
      <w:tblPr>
        <w:tblpPr w:leftFromText="180" w:rightFromText="180" w:topFromText="180" w:bottomFromText="180" w:vertAnchor="text" w:tblpX="688"/>
        <w:tblW w:w="86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1"/>
        <w:gridCol w:w="2085"/>
        <w:gridCol w:w="2520"/>
        <w:gridCol w:w="1125"/>
        <w:gridCol w:w="1182"/>
        <w:gridCol w:w="1232"/>
      </w:tblGrid>
      <w:tr w:rsidR="001833D4" w14:paraId="1DE48E50" w14:textId="77777777" w:rsidTr="00D33B09">
        <w:trPr>
          <w:trHeight w:val="362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46B07F3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No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91CED02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  <w:rPr>
                <w:i/>
              </w:rPr>
            </w:pPr>
            <w:r>
              <w:t xml:space="preserve">Dimensi-dimensi </w:t>
            </w:r>
            <w:r w:rsidRPr="00F24089">
              <w:rPr>
                <w:i/>
                <w:iCs/>
              </w:rPr>
              <w:t>Future time perspective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5BD6FF8" w14:textId="77777777" w:rsidR="001833D4" w:rsidRDefault="001833D4" w:rsidP="00D33B09">
            <w:pPr>
              <w:widowControl w:val="0"/>
              <w:ind w:left="140" w:right="140"/>
            </w:pPr>
          </w:p>
        </w:tc>
        <w:tc>
          <w:tcPr>
            <w:tcW w:w="2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F7D5BE1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Jumlah aitem</w:t>
            </w:r>
          </w:p>
        </w:tc>
        <w:tc>
          <w:tcPr>
            <w:tcW w:w="1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73A97F5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Total</w:t>
            </w:r>
          </w:p>
        </w:tc>
      </w:tr>
      <w:tr w:rsidR="001833D4" w14:paraId="2A343DE7" w14:textId="77777777" w:rsidTr="00D33B09">
        <w:trPr>
          <w:trHeight w:val="469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453B9" w14:textId="77777777" w:rsidR="001833D4" w:rsidRDefault="001833D4" w:rsidP="00D33B09">
            <w:pPr>
              <w:widowControl w:val="0"/>
              <w:ind w:left="140" w:right="140"/>
            </w:pPr>
          </w:p>
        </w:tc>
        <w:tc>
          <w:tcPr>
            <w:tcW w:w="20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CD70B" w14:textId="77777777" w:rsidR="001833D4" w:rsidRDefault="001833D4" w:rsidP="00D33B09">
            <w:pPr>
              <w:widowControl w:val="0"/>
              <w:ind w:left="140" w:right="140"/>
            </w:pPr>
          </w:p>
        </w:tc>
        <w:tc>
          <w:tcPr>
            <w:tcW w:w="2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29DFC" w14:textId="77777777" w:rsidR="001833D4" w:rsidRDefault="001833D4" w:rsidP="00D33B09">
            <w:pPr>
              <w:widowControl w:val="0"/>
              <w:ind w:left="140" w:right="140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2838FFD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Favorable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C377C4F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Unfavorable</w:t>
            </w:r>
          </w:p>
        </w:tc>
        <w:tc>
          <w:tcPr>
            <w:tcW w:w="1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7A89A4C" w14:textId="77777777" w:rsidR="001833D4" w:rsidRDefault="001833D4" w:rsidP="00D33B09">
            <w:pPr>
              <w:widowControl w:val="0"/>
              <w:ind w:right="140"/>
              <w:jc w:val="center"/>
            </w:pPr>
          </w:p>
        </w:tc>
      </w:tr>
      <w:tr w:rsidR="001833D4" w14:paraId="3EA42F7A" w14:textId="77777777" w:rsidTr="00D33B09">
        <w:trPr>
          <w:trHeight w:val="163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1378B7B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AEEA8E1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Waktu yang tersisa dan yang dirasakan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0D1863E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Banyaknya waktu yang tersisa saat ini untuk merencanakan dan mempersiapkan karir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117F5CE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1,2,3,4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F3DAE48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5,6,7,8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C54072C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8</w:t>
            </w:r>
          </w:p>
        </w:tc>
      </w:tr>
      <w:tr w:rsidR="001833D4" w14:paraId="7D6267E2" w14:textId="77777777" w:rsidTr="00D33B09">
        <w:trPr>
          <w:trHeight w:val="136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BBE24FA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2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89D5381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Fokus pada peluang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69936AF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Mencakup terhadap persepsi, tujuan, peluang, dan kemungkinan di masa depan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ED3A19B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9,10,11,12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7EB7C77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13,14,15,16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012D42B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8</w:t>
            </w:r>
          </w:p>
        </w:tc>
      </w:tr>
      <w:tr w:rsidR="001833D4" w14:paraId="307C5105" w14:textId="77777777" w:rsidTr="00D33B09">
        <w:trPr>
          <w:trHeight w:val="55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3384961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3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163E6E0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Fokus pada keterbatasan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09D1B02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Pengenalan terhadap diri sendiri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621EA54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17,18,19,20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E2760BF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21,22,23,24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7B75D1F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8</w:t>
            </w:r>
          </w:p>
        </w:tc>
      </w:tr>
      <w:tr w:rsidR="001833D4" w14:paraId="4892E6F1" w14:textId="77777777" w:rsidTr="00D33B09">
        <w:trPr>
          <w:trHeight w:val="555"/>
        </w:trPr>
        <w:tc>
          <w:tcPr>
            <w:tcW w:w="51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C3CEFBB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Total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8C59447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12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ED63C3E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12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BD1BED6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24</w:t>
            </w:r>
          </w:p>
        </w:tc>
      </w:tr>
    </w:tbl>
    <w:p w14:paraId="5342DEB7" w14:textId="256DEC06" w:rsidR="001833D4" w:rsidRDefault="001833D4" w:rsidP="001833D4">
      <w:pPr>
        <w:widowControl w:val="0"/>
        <w:numPr>
          <w:ilvl w:val="0"/>
          <w:numId w:val="1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Blueprint Skala Kematangan Karir </w:t>
      </w:r>
    </w:p>
    <w:tbl>
      <w:tblPr>
        <w:tblpPr w:leftFromText="180" w:rightFromText="180" w:topFromText="180" w:bottomFromText="180" w:vertAnchor="text" w:tblpX="673"/>
        <w:tblW w:w="85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1"/>
        <w:gridCol w:w="2085"/>
        <w:gridCol w:w="2565"/>
        <w:gridCol w:w="1140"/>
        <w:gridCol w:w="1157"/>
        <w:gridCol w:w="1140"/>
      </w:tblGrid>
      <w:tr w:rsidR="001833D4" w14:paraId="586A0BF2" w14:textId="77777777" w:rsidTr="00D33B09">
        <w:trPr>
          <w:trHeight w:val="285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7F92AA4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lastRenderedPageBreak/>
              <w:t>No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CE5AF31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Aspek kematangan karir</w:t>
            </w:r>
          </w:p>
        </w:tc>
        <w:tc>
          <w:tcPr>
            <w:tcW w:w="2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27ECDEE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Indikator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5AF0936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Jumlah aitem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7015016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Total</w:t>
            </w:r>
          </w:p>
        </w:tc>
      </w:tr>
      <w:tr w:rsidR="001833D4" w14:paraId="0ECA699B" w14:textId="77777777" w:rsidTr="00D33B09">
        <w:trPr>
          <w:trHeight w:val="285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92657" w14:textId="77777777" w:rsidR="001833D4" w:rsidRDefault="001833D4" w:rsidP="00D33B09">
            <w:pPr>
              <w:widowControl w:val="0"/>
              <w:ind w:left="140" w:right="140"/>
              <w:rPr>
                <w:sz w:val="26"/>
                <w:szCs w:val="26"/>
              </w:rPr>
            </w:pPr>
          </w:p>
        </w:tc>
        <w:tc>
          <w:tcPr>
            <w:tcW w:w="20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0D93C" w14:textId="77777777" w:rsidR="001833D4" w:rsidRDefault="001833D4" w:rsidP="00D33B09">
            <w:pPr>
              <w:widowControl w:val="0"/>
              <w:ind w:left="140" w:right="140"/>
              <w:rPr>
                <w:sz w:val="26"/>
                <w:szCs w:val="26"/>
              </w:rPr>
            </w:pPr>
          </w:p>
        </w:tc>
        <w:tc>
          <w:tcPr>
            <w:tcW w:w="2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A8F91" w14:textId="77777777" w:rsidR="001833D4" w:rsidRDefault="001833D4" w:rsidP="00D33B09">
            <w:pPr>
              <w:widowControl w:val="0"/>
              <w:ind w:left="140" w:right="140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EA26D11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Favorable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83EF247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Unfavorable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1E1641D" w14:textId="77777777" w:rsidR="001833D4" w:rsidRDefault="001833D4" w:rsidP="00D33B09">
            <w:pPr>
              <w:widowControl w:val="0"/>
              <w:ind w:right="140"/>
              <w:jc w:val="center"/>
            </w:pPr>
          </w:p>
        </w:tc>
      </w:tr>
      <w:tr w:rsidR="001833D4" w14:paraId="088170D0" w14:textId="77777777" w:rsidTr="00D33B09">
        <w:trPr>
          <w:trHeight w:val="82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6421436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00E183C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Keterlibatan (</w:t>
            </w:r>
            <w:r>
              <w:rPr>
                <w:i/>
              </w:rPr>
              <w:t>Involvement in the choice process</w:t>
            </w:r>
            <w:r>
              <w:t>)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7C48D9D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Individu mampu terlibat dalam proses pemilihan pekerjaan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A799561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1,2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5647FCE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3,4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B87EC4F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4</w:t>
            </w:r>
          </w:p>
        </w:tc>
      </w:tr>
      <w:tr w:rsidR="001833D4" w14:paraId="128A2B59" w14:textId="77777777" w:rsidTr="00D33B09">
        <w:trPr>
          <w:trHeight w:val="10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8D1946E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2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B383AFE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Pengenalan (</w:t>
            </w:r>
            <w:r>
              <w:rPr>
                <w:i/>
              </w:rPr>
              <w:t>Orientation toward work</w:t>
            </w:r>
            <w:r>
              <w:t>)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73C05DA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Mengetahui atau mengenal karakteristik pekerjaan dan nilai- nilai pekerjaan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4B96565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5,6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773AE6E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7,8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BF78A86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4</w:t>
            </w:r>
          </w:p>
        </w:tc>
      </w:tr>
      <w:tr w:rsidR="001833D4" w14:paraId="6E6FE008" w14:textId="77777777" w:rsidTr="00D33B09">
        <w:trPr>
          <w:trHeight w:val="136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9ADA1C3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3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523AB06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Kemandirian (</w:t>
            </w:r>
            <w:r>
              <w:rPr>
                <w:i/>
              </w:rPr>
              <w:t>Independence in decision making</w:t>
            </w:r>
            <w:r>
              <w:t>)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46508AD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Individu dapat memilih dalam mengambil keputusan mengenai pekerjaan mereka sendiri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30ACCA8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9,10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05A33F5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11,12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F87F933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4</w:t>
            </w:r>
          </w:p>
        </w:tc>
      </w:tr>
      <w:tr w:rsidR="001833D4" w14:paraId="1305805D" w14:textId="77777777" w:rsidTr="00D33B09">
        <w:trPr>
          <w:trHeight w:val="163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4F2902F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8924FE2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Faktor preferensi atau pilihan kejuruan (</w:t>
            </w:r>
            <w:r>
              <w:rPr>
                <w:i/>
              </w:rPr>
              <w:t>Preference or vocational choice factors</w:t>
            </w:r>
            <w:r>
              <w:t>)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00F9820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Sejauh mana individu memilih salah satu alternatif pekerjaan dari berbagai pekerjaan yang beragam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14BC364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13,14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2939CE9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15,16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3F7585C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4</w:t>
            </w:r>
          </w:p>
        </w:tc>
      </w:tr>
      <w:tr w:rsidR="001833D4" w14:paraId="3DD6F761" w14:textId="77777777" w:rsidTr="00D33B09">
        <w:trPr>
          <w:trHeight w:val="163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51A3970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5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A1A6CBB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Konsepsi proses pilihan (</w:t>
            </w:r>
            <w:r>
              <w:rPr>
                <w:i/>
              </w:rPr>
              <w:t>Conceptions of choice process</w:t>
            </w:r>
            <w:r>
              <w:t>)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2CA231E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Individu meyakini bahwa harus mengambil keputusan sendiri meskipun masih memerlukan nasihat orang lain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FB1FFED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17,18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AB4129F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19,20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93B2A6B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4</w:t>
            </w:r>
          </w:p>
        </w:tc>
      </w:tr>
      <w:tr w:rsidR="001833D4" w14:paraId="6DDEAFDB" w14:textId="77777777" w:rsidTr="00D33B09">
        <w:trPr>
          <w:trHeight w:val="10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ADD1A07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6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F3C7DED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Pengukuran diri (</w:t>
            </w:r>
            <w:r>
              <w:rPr>
                <w:i/>
              </w:rPr>
              <w:t>Self appraisal</w:t>
            </w:r>
            <w:r>
              <w:t>)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EB7987C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Individu mampu mengukur keterampilan dan keahlian yang dimiliki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461870C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21,22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C867B1A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23,24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E2D6093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4</w:t>
            </w:r>
          </w:p>
        </w:tc>
      </w:tr>
      <w:tr w:rsidR="001833D4" w14:paraId="70E0F593" w14:textId="77777777" w:rsidTr="00D33B09">
        <w:trPr>
          <w:trHeight w:val="10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30D5734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7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1D71613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Informasi pekerjaan (</w:t>
            </w:r>
            <w:r>
              <w:rPr>
                <w:i/>
              </w:rPr>
              <w:t>Occupational information</w:t>
            </w:r>
            <w:r>
              <w:t>)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3768283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Sejauh mana pengetahuan individu tentang dunia pekerjaan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479AA7D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25,26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A8E7885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27,28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6B24A81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4</w:t>
            </w:r>
          </w:p>
        </w:tc>
      </w:tr>
      <w:tr w:rsidR="001833D4" w14:paraId="0BC8DE15" w14:textId="77777777" w:rsidTr="00D33B09">
        <w:trPr>
          <w:trHeight w:val="82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13A09E2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lastRenderedPageBreak/>
              <w:t>8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A99D1C9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Pemilihan tujuan (</w:t>
            </w:r>
            <w:r>
              <w:rPr>
                <w:i/>
              </w:rPr>
              <w:t>Goal selection</w:t>
            </w:r>
            <w:r>
              <w:t>)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A11C5B7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Sejauh mana individu mampu mendiskusikan pilihan-pilihan karir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6DADD93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29,30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5733BB3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31,32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0C62010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4</w:t>
            </w:r>
          </w:p>
        </w:tc>
      </w:tr>
      <w:tr w:rsidR="001833D4" w14:paraId="3BF7EFAA" w14:textId="77777777" w:rsidTr="00D33B09">
        <w:trPr>
          <w:trHeight w:val="10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3FC7E0F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9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87CC24A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Perencanaan (</w:t>
            </w:r>
            <w:r>
              <w:rPr>
                <w:i/>
              </w:rPr>
              <w:t>Planning</w:t>
            </w:r>
            <w:r>
              <w:t>)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5367D9A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Individu dapat mempersiapkan rencana dan membuat pilihan terhadap dirinya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67D6C5C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33,34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4B30972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35,36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37E365A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4</w:t>
            </w:r>
          </w:p>
        </w:tc>
      </w:tr>
      <w:tr w:rsidR="001833D4" w14:paraId="70429BA4" w14:textId="77777777" w:rsidTr="00D33B09">
        <w:trPr>
          <w:trHeight w:val="136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1B225D9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10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A62CE8D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Penyelesaian masalah (</w:t>
            </w:r>
            <w:r>
              <w:rPr>
                <w:i/>
              </w:rPr>
              <w:t>Problem solving</w:t>
            </w:r>
            <w:r>
              <w:t>)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B9AAD18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Individu dapat meyakini bahwa memecahkan masalah merupakan tanggung jawab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7EF628F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37,38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5A4F6EC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39,40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4A16F95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4</w:t>
            </w:r>
          </w:p>
        </w:tc>
      </w:tr>
      <w:tr w:rsidR="001833D4" w14:paraId="7A5B6CAD" w14:textId="77777777" w:rsidTr="00D33B09">
        <w:trPr>
          <w:trHeight w:val="299"/>
        </w:trPr>
        <w:tc>
          <w:tcPr>
            <w:tcW w:w="5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659CDCD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Total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E39089C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20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D0C5263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CC19AC7" w14:textId="77777777" w:rsidR="001833D4" w:rsidRDefault="001833D4" w:rsidP="00D33B09">
            <w:pPr>
              <w:widowControl w:val="0"/>
              <w:spacing w:before="240"/>
              <w:ind w:left="140" w:right="140"/>
              <w:jc w:val="center"/>
            </w:pPr>
            <w:r>
              <w:t>40</w:t>
            </w:r>
          </w:p>
        </w:tc>
      </w:tr>
    </w:tbl>
    <w:p w14:paraId="0A751026" w14:textId="77777777" w:rsidR="001833D4" w:rsidRPr="001833D4" w:rsidRDefault="001833D4" w:rsidP="001833D4">
      <w:pPr>
        <w:widowControl w:val="0"/>
        <w:ind w:left="720"/>
        <w:jc w:val="both"/>
        <w:rPr>
          <w:b/>
          <w:sz w:val="26"/>
          <w:szCs w:val="26"/>
        </w:rPr>
      </w:pPr>
    </w:p>
    <w:p w14:paraId="12783C6A" w14:textId="77777777" w:rsidR="00E07901" w:rsidRDefault="00E07901"/>
    <w:sectPr w:rsidR="00E07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D1116"/>
    <w:multiLevelType w:val="multilevel"/>
    <w:tmpl w:val="671ADDA8"/>
    <w:lvl w:ilvl="0">
      <w:start w:val="1"/>
      <w:numFmt w:val="upperLetter"/>
      <w:pStyle w:val="Heading1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pStyle w:val="Heading3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408915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3D4"/>
    <w:rsid w:val="0008277B"/>
    <w:rsid w:val="001833D4"/>
    <w:rsid w:val="00923F56"/>
    <w:rsid w:val="00C42588"/>
    <w:rsid w:val="00D237D1"/>
    <w:rsid w:val="00E0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38B32"/>
  <w15:chartTrackingRefBased/>
  <w15:docId w15:val="{EAFA8801-1AF4-416E-AD55-A18970278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3D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33D4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3D4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3D4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3D4"/>
    <w:rPr>
      <w:rFonts w:ascii="Times New Roman" w:eastAsia="Times New Roman" w:hAnsi="Times New Roman" w:cs="Times New Roman"/>
      <w:b/>
      <w:smallCaps/>
      <w:kern w:val="0"/>
      <w:sz w:val="20"/>
      <w:szCs w:val="20"/>
      <w:lang w:val="id-ID"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3D4"/>
    <w:rPr>
      <w:rFonts w:ascii="Times New Roman" w:eastAsia="Times New Roman" w:hAnsi="Times New Roman" w:cs="Times New Roman"/>
      <w:kern w:val="0"/>
      <w:sz w:val="24"/>
      <w:szCs w:val="20"/>
      <w:lang w:val="id-ID"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3D4"/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Satrio waluyo</dc:creator>
  <cp:keywords/>
  <dc:description/>
  <cp:lastModifiedBy>Satrio waluyo</cp:lastModifiedBy>
  <cp:revision>1</cp:revision>
  <dcterms:created xsi:type="dcterms:W3CDTF">2024-08-15T08:33:00Z</dcterms:created>
  <dcterms:modified xsi:type="dcterms:W3CDTF">2024-08-15T08:42:00Z</dcterms:modified>
</cp:coreProperties>
</file>