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BE5093" w:rsidRDefault="00BE5093">
      <w:pPr>
        <w:widowControl w:val="0"/>
        <w:pBdr>
          <w:top w:val="nil"/>
          <w:left w:val="nil"/>
          <w:bottom w:val="nil"/>
          <w:right w:val="nil"/>
          <w:between w:val="nil"/>
        </w:pBdr>
        <w:spacing w:line="276" w:lineRule="auto"/>
      </w:pPr>
    </w:p>
    <w:p w:rsidR="00597E86" w:rsidRDefault="00597E86" w:rsidP="00597E86">
      <w:pPr>
        <w:pBdr>
          <w:top w:val="nil"/>
          <w:left w:val="nil"/>
          <w:bottom w:val="nil"/>
          <w:right w:val="nil"/>
          <w:between w:val="nil"/>
        </w:pBdr>
        <w:jc w:val="both"/>
        <w:rPr>
          <w:b/>
          <w:color w:val="000000"/>
          <w:sz w:val="32"/>
          <w:szCs w:val="32"/>
        </w:rPr>
      </w:pPr>
    </w:p>
    <w:p w:rsidR="00BE5093" w:rsidRDefault="0009570F">
      <w:pPr>
        <w:pBdr>
          <w:top w:val="nil"/>
          <w:left w:val="nil"/>
          <w:bottom w:val="nil"/>
          <w:right w:val="nil"/>
          <w:between w:val="nil"/>
        </w:pBdr>
        <w:ind w:left="851"/>
        <w:jc w:val="both"/>
        <w:rPr>
          <w:b/>
          <w:color w:val="000000"/>
          <w:sz w:val="28"/>
          <w:szCs w:val="28"/>
        </w:rPr>
      </w:pPr>
      <w:r>
        <w:rPr>
          <w:b/>
          <w:color w:val="000000"/>
          <w:sz w:val="28"/>
          <w:szCs w:val="28"/>
        </w:rPr>
        <w:t>[</w:t>
      </w:r>
      <w:r w:rsidR="00597E86" w:rsidRPr="00597E86">
        <w:rPr>
          <w:b/>
          <w:color w:val="000000"/>
          <w:sz w:val="32"/>
          <w:szCs w:val="32"/>
        </w:rPr>
        <w:t>The Role of Religiosity and Social Support on Anxiety Facing Death in the Elderly</w:t>
      </w:r>
      <w:r>
        <w:rPr>
          <w:b/>
          <w:color w:val="000000"/>
          <w:sz w:val="28"/>
          <w:szCs w:val="28"/>
        </w:rPr>
        <w:t>]</w:t>
      </w:r>
    </w:p>
    <w:p w:rsidR="00597E86" w:rsidRDefault="00597E86">
      <w:pPr>
        <w:pBdr>
          <w:top w:val="nil"/>
          <w:left w:val="nil"/>
          <w:bottom w:val="nil"/>
          <w:right w:val="nil"/>
          <w:between w:val="nil"/>
        </w:pBdr>
        <w:ind w:left="851"/>
        <w:jc w:val="both"/>
        <w:rPr>
          <w:b/>
          <w:color w:val="000000"/>
          <w:sz w:val="28"/>
          <w:szCs w:val="28"/>
        </w:rPr>
      </w:pPr>
      <w:r>
        <w:rPr>
          <w:b/>
          <w:color w:val="000000"/>
          <w:sz w:val="32"/>
          <w:szCs w:val="32"/>
        </w:rPr>
        <w:t>Peranan Religiusitas Dan Dukungan Sosial</w:t>
      </w:r>
      <w:r w:rsidR="001A2F91">
        <w:rPr>
          <w:b/>
          <w:color w:val="000000"/>
          <w:sz w:val="32"/>
          <w:szCs w:val="32"/>
        </w:rPr>
        <w:t xml:space="preserve"> Terhadap Kecemasan Menghadapi K</w:t>
      </w:r>
      <w:r>
        <w:rPr>
          <w:b/>
          <w:color w:val="000000"/>
          <w:sz w:val="32"/>
          <w:szCs w:val="32"/>
        </w:rPr>
        <w:t>ematian Pada Lanjut Usia</w:t>
      </w:r>
    </w:p>
    <w:p w:rsidR="00BE5093" w:rsidRDefault="00BE5093">
      <w:pPr>
        <w:rPr>
          <w:sz w:val="20"/>
          <w:szCs w:val="20"/>
        </w:rPr>
      </w:pPr>
    </w:p>
    <w:p w:rsidR="00597E86" w:rsidRDefault="00597E86" w:rsidP="00597E86">
      <w:pPr>
        <w:pStyle w:val="Author"/>
        <w:spacing w:after="115"/>
        <w:ind w:left="851"/>
        <w:contextualSpacing/>
        <w:jc w:val="left"/>
      </w:pPr>
      <w:r>
        <w:rPr>
          <w:b w:val="0"/>
          <w:sz w:val="20"/>
          <w:szCs w:val="20"/>
        </w:rPr>
        <w:t>Izzul Haq</w:t>
      </w:r>
      <w:r>
        <w:rPr>
          <w:b w:val="0"/>
          <w:sz w:val="20"/>
          <w:szCs w:val="20"/>
          <w:vertAlign w:val="superscript"/>
        </w:rPr>
        <w:t>1)</w:t>
      </w:r>
      <w:r>
        <w:rPr>
          <w:b w:val="0"/>
          <w:sz w:val="20"/>
          <w:szCs w:val="20"/>
        </w:rPr>
        <w:t>,  Lely Ika Mariyati</w:t>
      </w:r>
      <w:r>
        <w:rPr>
          <w:b w:val="0"/>
          <w:sz w:val="20"/>
          <w:szCs w:val="20"/>
          <w:vertAlign w:val="superscript"/>
        </w:rPr>
        <w:t>,2)</w:t>
      </w:r>
      <w:r>
        <w:rPr>
          <w:b w:val="0"/>
          <w:sz w:val="20"/>
          <w:szCs w:val="20"/>
        </w:rPr>
        <w:t xml:space="preserve"> </w:t>
      </w:r>
    </w:p>
    <w:p w:rsidR="00597E86" w:rsidRDefault="00597E86" w:rsidP="00597E86">
      <w:pPr>
        <w:ind w:left="851"/>
        <w:contextualSpacing/>
        <w:rPr>
          <w:i/>
        </w:rPr>
      </w:pPr>
      <w:r>
        <w:rPr>
          <w:i/>
          <w:sz w:val="20"/>
          <w:szCs w:val="20"/>
          <w:vertAlign w:val="superscript"/>
        </w:rPr>
        <w:t>1)</w:t>
      </w:r>
      <w:r>
        <w:rPr>
          <w:i/>
          <w:sz w:val="20"/>
          <w:szCs w:val="20"/>
        </w:rPr>
        <w:t xml:space="preserve">Program Studi Psikologi, Universitas </w:t>
      </w:r>
      <w:r>
        <w:rPr>
          <w:i/>
          <w:sz w:val="20"/>
          <w:szCs w:val="20"/>
          <w:lang w:val="en-ID"/>
        </w:rPr>
        <w:t>Muhammadiyah Sidoarjo, Indonesia</w:t>
      </w:r>
    </w:p>
    <w:p w:rsidR="00597E86" w:rsidRDefault="00597E86" w:rsidP="00597E86">
      <w:pPr>
        <w:ind w:left="851"/>
        <w:contextualSpacing/>
        <w:rPr>
          <w:i/>
        </w:rPr>
      </w:pPr>
      <w:r>
        <w:rPr>
          <w:i/>
          <w:sz w:val="20"/>
          <w:szCs w:val="20"/>
          <w:vertAlign w:val="superscript"/>
        </w:rPr>
        <w:t>2)</w:t>
      </w:r>
      <w:r>
        <w:rPr>
          <w:i/>
          <w:sz w:val="20"/>
          <w:szCs w:val="20"/>
        </w:rPr>
        <w:t xml:space="preserve"> Program Studi Psikologi, Universitas </w:t>
      </w:r>
      <w:r>
        <w:rPr>
          <w:i/>
          <w:sz w:val="20"/>
          <w:szCs w:val="20"/>
          <w:lang w:val="en-ID"/>
        </w:rPr>
        <w:t>Muhammadiyah Sidoarjo, Indonesia</w:t>
      </w:r>
    </w:p>
    <w:p w:rsidR="00597E86" w:rsidRPr="00597E86" w:rsidRDefault="00597E86" w:rsidP="00597E86">
      <w:pPr>
        <w:ind w:left="851"/>
        <w:contextualSpacing/>
        <w:rPr>
          <w:sz w:val="20"/>
          <w:szCs w:val="20"/>
        </w:rPr>
      </w:pPr>
      <w:r>
        <w:rPr>
          <w:sz w:val="20"/>
          <w:szCs w:val="20"/>
          <w:lang w:val="en-ID"/>
        </w:rPr>
        <w:t xml:space="preserve">*Email Penulis Korespondensi: </w:t>
      </w:r>
      <w:hyperlink r:id="rId9" w:history="1">
        <w:r w:rsidRPr="00530F82">
          <w:rPr>
            <w:rStyle w:val="Hyperlink"/>
            <w:sz w:val="20"/>
            <w:szCs w:val="20"/>
            <w:lang w:val="en-ID"/>
          </w:rPr>
          <w:t>ikalely@umsida.ac.id</w:t>
        </w:r>
      </w:hyperlink>
      <w:r>
        <w:rPr>
          <w:sz w:val="20"/>
          <w:szCs w:val="20"/>
        </w:rPr>
        <w:t xml:space="preserve"> </w:t>
      </w:r>
    </w:p>
    <w:p w:rsidR="00BE5093" w:rsidRDefault="00BE5093">
      <w:pPr>
        <w:rPr>
          <w:i/>
          <w:sz w:val="20"/>
          <w:szCs w:val="20"/>
        </w:rPr>
      </w:pPr>
    </w:p>
    <w:p w:rsidR="00BE5093" w:rsidRDefault="00BE5093">
      <w:pPr>
        <w:rPr>
          <w:sz w:val="20"/>
          <w:szCs w:val="20"/>
        </w:rPr>
        <w:sectPr w:rsidR="00BE5093">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rsidR="00BE5093" w:rsidRDefault="0009570F">
      <w:pPr>
        <w:keepNext/>
        <w:pBdr>
          <w:top w:val="nil"/>
          <w:left w:val="nil"/>
          <w:bottom w:val="nil"/>
          <w:right w:val="nil"/>
          <w:between w:val="nil"/>
        </w:pBdr>
        <w:ind w:right="4" w:hanging="567"/>
        <w:jc w:val="both"/>
        <w:rPr>
          <w:i/>
          <w:smallCaps/>
          <w:color w:val="000000"/>
          <w:sz w:val="20"/>
          <w:szCs w:val="20"/>
        </w:rPr>
      </w:pPr>
      <w:bookmarkStart w:id="0" w:name="_heading=h.30j0zll" w:colFirst="0" w:colLast="0"/>
      <w:bookmarkEnd w:id="0"/>
      <w:r>
        <w:rPr>
          <w:b/>
          <w:i/>
          <w:color w:val="000000"/>
          <w:sz w:val="20"/>
          <w:szCs w:val="20"/>
        </w:rPr>
        <w:lastRenderedPageBreak/>
        <w:t>Abstract</w:t>
      </w:r>
      <w:r>
        <w:rPr>
          <w:i/>
          <w:color w:val="000000"/>
          <w:sz w:val="20"/>
          <w:szCs w:val="20"/>
        </w:rPr>
        <w:t xml:space="preserve">. </w:t>
      </w:r>
      <w:r w:rsidR="00597E86" w:rsidRPr="00597E86">
        <w:rPr>
          <w:i/>
          <w:color w:val="000000"/>
          <w:sz w:val="20"/>
          <w:szCs w:val="20"/>
        </w:rPr>
        <w:t>In the final stage of a person's life, they face a developmental task that must be successfully completed: preparing for and accepting death itself. However, this often leads to anxiety in the elderly, as death is perceived as a tragedy, helplessness, and extreme pain. Nevertheless, religiosity and social support are two factors believed to reduce death anxiety among the elderly. The aim of this study is to determine: (1) the role of religiosity in reducing death anxiety among the elderly; (2) the role of social support in reducing death anxiety among the elderly; and (3) the combined role of religiosity and social support in reducing death anxiety among the elderly. This study employs a quantitative research method using multiple regression analysis, which includes both simultaneous and partial tests. The sampling technique used is purposive quota random sampling. The population in this study comprises elderly residents of Liponsos Keputih, Surabaya, with a total of 100 respondents taken from two barracks. The results of the analysis using multiple regression techniques show that, simultaneously, the variables of religiosity and social support account for 27.2% of the variance in death anxiety. Meanwhile, the partial analysis indicates that religiosity has a significant effect on death anxiety with a value of β = -0.315, (p &lt; .001), while social support also has a significant effect on death anxiety with a value of β = -0.352, (p &lt; .001). The largest effective contribution is made by the social support variable, which accounts for 14.8%. This research can contribute to theoretical knowledge in the field of psychology and inform interventions based on religiosity and social support to reduce death anxiety among the elderly</w:t>
      </w:r>
      <w:r w:rsidR="00597E86">
        <w:rPr>
          <w:i/>
          <w:color w:val="000000"/>
          <w:sz w:val="20"/>
          <w:szCs w:val="20"/>
        </w:rPr>
        <w:t>.</w:t>
      </w:r>
    </w:p>
    <w:p w:rsidR="00BE5093" w:rsidRPr="000C52D0" w:rsidRDefault="0009570F">
      <w:pPr>
        <w:keepNext/>
        <w:pBdr>
          <w:top w:val="nil"/>
          <w:left w:val="nil"/>
          <w:bottom w:val="nil"/>
          <w:right w:val="nil"/>
          <w:between w:val="nil"/>
        </w:pBdr>
        <w:spacing w:before="58"/>
        <w:ind w:right="4" w:hanging="567"/>
        <w:jc w:val="both"/>
        <w:rPr>
          <w:i/>
          <w:smallCaps/>
          <w:color w:val="000000"/>
          <w:sz w:val="20"/>
          <w:szCs w:val="20"/>
        </w:rPr>
      </w:pPr>
      <w:r>
        <w:rPr>
          <w:b/>
          <w:i/>
          <w:color w:val="000000"/>
          <w:sz w:val="20"/>
          <w:szCs w:val="20"/>
        </w:rPr>
        <w:t xml:space="preserve">Keywords - </w:t>
      </w:r>
      <w:r w:rsidR="000C52D0" w:rsidRPr="000C52D0">
        <w:rPr>
          <w:i/>
          <w:color w:val="000000"/>
          <w:sz w:val="20"/>
          <w:szCs w:val="20"/>
        </w:rPr>
        <w:t>Anxiety</w:t>
      </w:r>
      <w:r w:rsidR="00597E86" w:rsidRPr="000C52D0">
        <w:rPr>
          <w:i/>
          <w:color w:val="000000"/>
          <w:sz w:val="20"/>
          <w:szCs w:val="20"/>
        </w:rPr>
        <w:t xml:space="preserve"> F</w:t>
      </w:r>
      <w:r w:rsidR="000C52D0" w:rsidRPr="000C52D0">
        <w:rPr>
          <w:i/>
          <w:color w:val="000000"/>
          <w:sz w:val="20"/>
          <w:szCs w:val="20"/>
        </w:rPr>
        <w:t>acing Death Elderly; Religiosity</w:t>
      </w:r>
      <w:r w:rsidR="00597E86" w:rsidRPr="000C52D0">
        <w:rPr>
          <w:i/>
          <w:color w:val="000000"/>
          <w:sz w:val="20"/>
          <w:szCs w:val="20"/>
        </w:rPr>
        <w:t>; Social Suppot</w:t>
      </w:r>
    </w:p>
    <w:p w:rsidR="00BE5093" w:rsidRDefault="00BE5093">
      <w:pPr>
        <w:tabs>
          <w:tab w:val="left" w:pos="0"/>
        </w:tabs>
        <w:ind w:right="4"/>
        <w:rPr>
          <w:b/>
          <w:i/>
        </w:rPr>
      </w:pPr>
    </w:p>
    <w:p w:rsidR="00BE5093" w:rsidRDefault="0009570F">
      <w:pPr>
        <w:keepNext/>
        <w:pBdr>
          <w:top w:val="nil"/>
          <w:left w:val="nil"/>
          <w:bottom w:val="nil"/>
          <w:right w:val="nil"/>
          <w:between w:val="nil"/>
        </w:pBdr>
        <w:ind w:right="4" w:hanging="567"/>
        <w:jc w:val="both"/>
        <w:rPr>
          <w:i/>
          <w:smallCaps/>
          <w:color w:val="000000"/>
          <w:sz w:val="20"/>
          <w:szCs w:val="20"/>
        </w:rPr>
      </w:pPr>
      <w:r>
        <w:rPr>
          <w:b/>
          <w:i/>
          <w:color w:val="000000"/>
          <w:sz w:val="20"/>
          <w:szCs w:val="20"/>
        </w:rPr>
        <w:t>Abstrak</w:t>
      </w:r>
      <w:r>
        <w:rPr>
          <w:i/>
          <w:color w:val="000000"/>
          <w:sz w:val="20"/>
          <w:szCs w:val="20"/>
        </w:rPr>
        <w:t xml:space="preserve">. </w:t>
      </w:r>
      <w:r w:rsidR="00597E86" w:rsidRPr="00597E86">
        <w:rPr>
          <w:i/>
          <w:color w:val="000000"/>
          <w:sz w:val="20"/>
          <w:szCs w:val="20"/>
        </w:rPr>
        <w:t>Pada siklus terakhir dalam periode kehidupan seseorang mereka memiliki tugas perkembangan yang perlu diselesaikan dengan baik yaitu mempersiapkan dan menerima adanya kematian itu sendiri, namun hal tersebut menimbulkan kecemasan pada lansia dikarenakan kematian dianggap sebagai tragedi, ketidak berdayaan, dan rasa sakit yang luar biasa. Namun, adanya religiusitas dan dukungan sosial adalah dua faktor yang diduga dapat meredukasi kecemasan terhadap kematian pada lanjut usia. Tujuan penelitian ini yaitu untuk mengetahui : (1) peranan antara religiusitas terhadap kecemasan menghadapi kematian pada lanjut usia; (2) peranan antara dukungan sosial terhadap kecemasan menghadapi kematian pada lanjut usia; (3) peranan antara religiusitas dan dukungan sosial terhadap kecemasan menghadapi kematian pada lanjut usia. Metode penelitian ini menggunakan metode kuantitatif regresi berganda dengan teknik analisis regresi berganda yang meliputi uji simultan dan uji parsial. Teknik pengambilan sampel menggunakan teknik purposive quota random sampling. Adapun populasi dalam penelitian ini adalah penduduk lanjut usia liponsos keputih surabaya dengan total responden yakni 100 responden yang diambil di 2 barak. Hasil analisa menggunakan teknik regresi berganda menunjukkan secara simultan variabel religiusitas dan dukungan sosial terhadap kecemasan menghadapi kematian sebesar 27,2%. Sementara analisa secara parsial menunjukkan bahwa religiuisitas berpengaruh signifikan terhadap kecemasan menghadapi kematian dengan nilai β -0.315, (p &lt;,001), sedangkan dukungan sosial berpengaruh signifikan terhadap kecemasan menghadapi kematian dengan nilai β -0.352, (p &lt;,001). Sumbangan efektif terbesar diberikan oleh variabel dukungan sosial yaitu sebesar 14,8%. Penelitian ini dapat memberikan kontribusi teoritis mengenai bidang psikologi dan intervensi berbasis reigiusitas dan dukungan sosial untuk mengurangi kecemasan menghadapi kematian pada lanjut usia</w:t>
      </w:r>
      <w:r w:rsidR="00597E86">
        <w:rPr>
          <w:i/>
          <w:color w:val="000000"/>
          <w:sz w:val="20"/>
          <w:szCs w:val="20"/>
        </w:rPr>
        <w:t>.</w:t>
      </w:r>
    </w:p>
    <w:p w:rsidR="00BE5093" w:rsidRDefault="00597E86" w:rsidP="00597E86">
      <w:pPr>
        <w:keepNext/>
        <w:pBdr>
          <w:top w:val="nil"/>
          <w:left w:val="nil"/>
          <w:bottom w:val="nil"/>
          <w:right w:val="nil"/>
          <w:between w:val="nil"/>
        </w:pBdr>
        <w:tabs>
          <w:tab w:val="left" w:pos="0"/>
        </w:tabs>
        <w:spacing w:before="58"/>
        <w:ind w:right="4" w:hanging="567"/>
        <w:rPr>
          <w:i/>
          <w:color w:val="000000"/>
          <w:sz w:val="20"/>
          <w:szCs w:val="20"/>
        </w:rPr>
        <w:sectPr w:rsidR="00BE5093">
          <w:type w:val="continuous"/>
          <w:pgSz w:w="11906" w:h="16838"/>
          <w:pgMar w:top="1701" w:right="1134" w:bottom="1701" w:left="1412" w:header="1134" w:footer="720" w:gutter="0"/>
          <w:cols w:space="720"/>
        </w:sectPr>
      </w:pPr>
      <w:r>
        <w:rPr>
          <w:b/>
          <w:i/>
          <w:color w:val="000000"/>
          <w:sz w:val="20"/>
          <w:szCs w:val="20"/>
        </w:rPr>
        <w:t xml:space="preserve">Kata Kunci </w:t>
      </w:r>
      <w:r w:rsidR="0009570F">
        <w:rPr>
          <w:b/>
          <w:i/>
          <w:color w:val="000000"/>
          <w:sz w:val="20"/>
          <w:szCs w:val="20"/>
        </w:rPr>
        <w:t>-</w:t>
      </w:r>
      <w:r>
        <w:rPr>
          <w:b/>
          <w:i/>
          <w:color w:val="000000"/>
          <w:sz w:val="20"/>
          <w:szCs w:val="20"/>
        </w:rPr>
        <w:t xml:space="preserve"> </w:t>
      </w:r>
      <w:r w:rsidR="000C52D0" w:rsidRPr="000C52D0">
        <w:rPr>
          <w:i/>
          <w:color w:val="000000"/>
          <w:sz w:val="20"/>
          <w:szCs w:val="20"/>
        </w:rPr>
        <w:t>Kecmasan Menghadapi Kematian Lansia; Religiusitas; Dukungan Sosial</w:t>
      </w:r>
    </w:p>
    <w:p w:rsidR="00BE5093" w:rsidRPr="000C52D0" w:rsidRDefault="0009570F">
      <w:pPr>
        <w:pStyle w:val="Heading1"/>
        <w:numPr>
          <w:ilvl w:val="0"/>
          <w:numId w:val="3"/>
        </w:numPr>
      </w:pPr>
      <w:r w:rsidRPr="000C52D0">
        <w:lastRenderedPageBreak/>
        <w:t xml:space="preserve">I. Pendahuluan </w:t>
      </w:r>
    </w:p>
    <w:p w:rsidR="000C52D0" w:rsidRPr="000C52D0" w:rsidRDefault="000C52D0" w:rsidP="000C52D0">
      <w:pPr>
        <w:pStyle w:val="JSKReferenceItem"/>
        <w:rPr>
          <w:sz w:val="20"/>
          <w:szCs w:val="20"/>
        </w:rPr>
      </w:pPr>
      <w:r w:rsidRPr="000C52D0">
        <w:rPr>
          <w:sz w:val="20"/>
          <w:szCs w:val="20"/>
        </w:rPr>
        <w:t xml:space="preserve">Paul Baltes, seorang ahli perkembangan semasa hidup menyatakan mengenai perspektif masa hidup “life span perspective” dimana perkembangan manusia berlangsung seumur hidup, mutidimensi, multiarah, plastis, </w:t>
      </w:r>
      <w:r w:rsidRPr="000C52D0">
        <w:rPr>
          <w:sz w:val="20"/>
          <w:szCs w:val="20"/>
        </w:rPr>
        <w:lastRenderedPageBreak/>
        <w:t>multidisiplin, dan kontekstual, serta melibatkan proses pertumbuhan, pemeliharaan, dan regulasi terhadap penurunan. Sehingga, pola perubahannya pun berlangsung di sepanjang rentang kehidupan</w:t>
      </w:r>
      <w:r w:rsidRPr="000C52D0">
        <w:rPr>
          <w:sz w:val="20"/>
          <w:szCs w:val="20"/>
          <w:lang w:val="en-US"/>
        </w:rPr>
        <w:t xml:space="preserve"> </w:t>
      </w:r>
      <w:sdt>
        <w:sdtPr>
          <w:rPr>
            <w:color w:val="000000"/>
            <w:sz w:val="20"/>
            <w:szCs w:val="20"/>
            <w:lang w:val="en-US"/>
          </w:rPr>
          <w:tag w:val="MENDELEY_CITATION_v3_eyJjaXRhdGlvbklEIjoiTUVOREVMRVlfQ0lUQVRJT05"/>
          <w:id w:val="-1564023233"/>
          <w:placeholder>
            <w:docPart w:val="12E989CE4F9C4B3FB1219A2B3489DBCA"/>
          </w:placeholder>
        </w:sdtPr>
        <w:sdtContent>
          <w:r w:rsidRPr="000C52D0">
            <w:rPr>
              <w:color w:val="000000"/>
              <w:sz w:val="20"/>
              <w:szCs w:val="20"/>
              <w:lang w:val="en-US"/>
            </w:rPr>
            <w:t>[1]</w:t>
          </w:r>
        </w:sdtContent>
      </w:sdt>
      <w:r w:rsidRPr="000C52D0">
        <w:rPr>
          <w:sz w:val="20"/>
          <w:szCs w:val="20"/>
        </w:rPr>
        <w:t>. Sedangkan, Hurlock menyatakan bahwa setiap manusia berkembang melalui beberapa periode yakni periode prenatal (kelahiran), periode infancy (masa bayi), periode early (masa kanak-kanak awal), periode akhir masa kanak-kanak, periode remaja, periode awal, periode dewasa, periode dewasa menengah (madya), serta periode dewasa akhir. Hurlock juga menyatakan bahwa periode dewasa akhir ialah periode terakhir dalam tahapan perkembangan manusia yang terjadi secara ilmiah dan tidak dapat dihindari oleh semua manusia selama rentang kehidupannya</w:t>
      </w:r>
      <w:r w:rsidRPr="000C52D0">
        <w:rPr>
          <w:sz w:val="20"/>
          <w:szCs w:val="20"/>
          <w:lang w:val="en-US"/>
        </w:rPr>
        <w:t xml:space="preserve"> </w:t>
      </w:r>
      <w:sdt>
        <w:sdtPr>
          <w:rPr>
            <w:color w:val="000000"/>
            <w:sz w:val="20"/>
            <w:szCs w:val="20"/>
            <w:lang w:val="en-US"/>
          </w:rPr>
          <w:tag w:val="MENDELEY_CITATION_v3_eyJjaXRhdGlvbklEIjoiTUVOREVMRVlfQ0lUQVRJT05"/>
          <w:id w:val="864865446"/>
          <w:placeholder>
            <w:docPart w:val="12E989CE4F9C4B3FB1219A2B3489DBCA"/>
          </w:placeholder>
        </w:sdtPr>
        <w:sdtContent>
          <w:r w:rsidRPr="000C52D0">
            <w:rPr>
              <w:color w:val="000000"/>
              <w:sz w:val="20"/>
              <w:szCs w:val="20"/>
              <w:lang w:val="en-US"/>
            </w:rPr>
            <w:t>[2]</w:t>
          </w:r>
        </w:sdtContent>
      </w:sdt>
      <w:r w:rsidRPr="000C52D0">
        <w:rPr>
          <w:sz w:val="20"/>
          <w:szCs w:val="20"/>
        </w:rPr>
        <w:t>.</w:t>
      </w:r>
    </w:p>
    <w:p w:rsidR="000C52D0" w:rsidRPr="000C52D0" w:rsidRDefault="000C52D0" w:rsidP="000C52D0">
      <w:pPr>
        <w:pStyle w:val="JSKReferenceItem"/>
        <w:rPr>
          <w:sz w:val="20"/>
          <w:szCs w:val="20"/>
        </w:rPr>
      </w:pPr>
      <w:r w:rsidRPr="000C52D0">
        <w:rPr>
          <w:sz w:val="20"/>
          <w:szCs w:val="20"/>
        </w:rPr>
        <w:t>Siklus pada periode dewasa akhir dalam perkembangan manusia yaitu ketika menginjak usia 60 tahun ke atas yang kemudian sering kita istilah kan dengan lansia (lanjut usia). Peraturan Menteri Kesehatan Republik Indonesia No. 25 Tahun 2016 Tentang Rencana Aksi Nasional Kesehatan Lanjut Usia Tahun 2016-2019 mengatakan lanjut usia merupakan seseorang yang telah mencapai usia 60 tahun ke atas</w:t>
      </w:r>
      <w:r w:rsidRPr="000C52D0">
        <w:rPr>
          <w:sz w:val="20"/>
          <w:szCs w:val="20"/>
          <w:lang w:val="en-US"/>
        </w:rPr>
        <w:t xml:space="preserve"> </w:t>
      </w:r>
      <w:sdt>
        <w:sdtPr>
          <w:rPr>
            <w:color w:val="000000"/>
            <w:sz w:val="20"/>
            <w:szCs w:val="20"/>
            <w:lang w:val="en-US"/>
          </w:rPr>
          <w:tag w:val="MENDELEY_CITATION_v3_eyJjaXRhdGlvbklEIjoiTUVOREVMRVlfQ0lUQVRJT05"/>
          <w:id w:val="2082409279"/>
          <w:placeholder>
            <w:docPart w:val="12E989CE4F9C4B3FB1219A2B3489DBCA"/>
          </w:placeholder>
        </w:sdtPr>
        <w:sdtContent>
          <w:r w:rsidRPr="000C52D0">
            <w:rPr>
              <w:color w:val="000000"/>
              <w:sz w:val="20"/>
              <w:szCs w:val="20"/>
            </w:rPr>
            <w:t>[3]</w:t>
          </w:r>
        </w:sdtContent>
      </w:sdt>
      <w:r w:rsidRPr="000C52D0">
        <w:rPr>
          <w:sz w:val="20"/>
          <w:szCs w:val="20"/>
        </w:rPr>
        <w:t>. Ketika memasuki usia lanjut, seseorang sangat rentan terhadap gangguan kesehatan dan berakibat terhadap terjadinya perubahan-perubahan dalam kehidupannya. Perubahan tersebut diantaranya ialah perubahan pada kondisi fisik, psikologis, dan sosial</w:t>
      </w:r>
      <w:r w:rsidRPr="000C52D0">
        <w:rPr>
          <w:sz w:val="20"/>
          <w:szCs w:val="20"/>
          <w:lang w:val="en-US"/>
        </w:rPr>
        <w:t xml:space="preserve"> </w:t>
      </w:r>
      <w:sdt>
        <w:sdtPr>
          <w:rPr>
            <w:color w:val="000000"/>
            <w:sz w:val="20"/>
            <w:szCs w:val="20"/>
            <w:lang w:val="en-US"/>
          </w:rPr>
          <w:tag w:val="MENDELEY_CITATION_v3_eyJjaXRhdGlvbklEIjoiTUVOREVMRVlfQ0lUQVRJT05"/>
          <w:id w:val="1657648659"/>
          <w:placeholder>
            <w:docPart w:val="12E989CE4F9C4B3FB1219A2B3489DBCA"/>
          </w:placeholder>
        </w:sdtPr>
        <w:sdtContent>
          <w:r w:rsidRPr="000C52D0">
            <w:rPr>
              <w:color w:val="000000"/>
              <w:sz w:val="20"/>
              <w:szCs w:val="20"/>
            </w:rPr>
            <w:t>[4]</w:t>
          </w:r>
        </w:sdtContent>
      </w:sdt>
      <w:r w:rsidRPr="000C52D0">
        <w:rPr>
          <w:sz w:val="20"/>
          <w:szCs w:val="20"/>
        </w:rPr>
        <w:t>.</w:t>
      </w:r>
    </w:p>
    <w:p w:rsidR="000C52D0" w:rsidRPr="000C52D0" w:rsidRDefault="000C52D0" w:rsidP="000C52D0">
      <w:pPr>
        <w:pStyle w:val="JSKReferenceItem"/>
        <w:rPr>
          <w:sz w:val="20"/>
          <w:szCs w:val="20"/>
        </w:rPr>
      </w:pPr>
      <w:r w:rsidRPr="000C52D0">
        <w:rPr>
          <w:sz w:val="20"/>
          <w:szCs w:val="20"/>
        </w:rPr>
        <w:t>Kane mengatakan bahwa perubahan kondisi fisik yang terjadi pada lansia diakibatkan terjadinya penurunan fungsi organ sehingga berakibat pada penyusutan berat badan dan peningkatan jumlah masa lemak pada bagian tubuh yang kurus, jumlah air dalam tubuh berkurang, kekencangan kulit berkurang dan muncul keriput, kemampuan sistem kardiovaskular menurun dan mengakibatkan berkurangnya kemampuan hati merespon stress, serta berisiko terhadap kematian. Selain itu, muncul tulang keropos, sensitivitas mata terhadap warna berkurang, menurunnya fungsi pupil menyebabkan penglihatan menjadi kabur, fungsi pendengaran berkurang, penurunan performa intelektual, psikomotor menjadi lambat</w:t>
      </w:r>
      <w:r w:rsidRPr="000C52D0">
        <w:rPr>
          <w:sz w:val="20"/>
          <w:szCs w:val="20"/>
          <w:lang w:val="en-US"/>
        </w:rPr>
        <w:t xml:space="preserve"> </w:t>
      </w:r>
      <w:sdt>
        <w:sdtPr>
          <w:rPr>
            <w:color w:val="000000"/>
            <w:sz w:val="20"/>
            <w:szCs w:val="20"/>
            <w:lang w:val="en-US"/>
          </w:rPr>
          <w:tag w:val="MENDELEY_CITATION_v3_eyJjaXRhdGlvbklEIjoiTUVOREVMRVlfQ0lUQVRJT05"/>
          <w:id w:val="-1863892814"/>
          <w:placeholder>
            <w:docPart w:val="12E989CE4F9C4B3FB1219A2B3489DBCA"/>
          </w:placeholder>
        </w:sdtPr>
        <w:sdtContent>
          <w:r w:rsidRPr="000C52D0">
            <w:rPr>
              <w:color w:val="000000"/>
              <w:sz w:val="20"/>
              <w:szCs w:val="20"/>
              <w:lang w:val="en-US"/>
            </w:rPr>
            <w:t>[5]</w:t>
          </w:r>
        </w:sdtContent>
      </w:sdt>
      <w:r w:rsidRPr="000C52D0">
        <w:rPr>
          <w:sz w:val="20"/>
          <w:szCs w:val="20"/>
        </w:rPr>
        <w:t>.</w:t>
      </w:r>
    </w:p>
    <w:p w:rsidR="000C52D0" w:rsidRPr="000C52D0" w:rsidRDefault="000C52D0" w:rsidP="000C52D0">
      <w:pPr>
        <w:pStyle w:val="JSKReferenceItem"/>
        <w:rPr>
          <w:sz w:val="20"/>
          <w:szCs w:val="20"/>
        </w:rPr>
      </w:pPr>
      <w:r w:rsidRPr="000C52D0">
        <w:rPr>
          <w:sz w:val="20"/>
          <w:szCs w:val="20"/>
        </w:rPr>
        <w:t>Hasylip dan Hansson mengatakan lanjut usia akan mengalami ketakutan yang lebih besar terhadap kematian dikarenakan memiliki pengalaman langsung terhadap kematian yang terjadi pada rekan dan sanak saudaranya yang meninggal. Sehingga, mereka lebih banyak berpikir dan berbicara mengenai kematian dengan rekan dan sanak saudaranya</w:t>
      </w:r>
      <w:r w:rsidRPr="000C52D0">
        <w:rPr>
          <w:sz w:val="20"/>
          <w:szCs w:val="20"/>
          <w:lang w:val="en-US"/>
        </w:rPr>
        <w:t xml:space="preserve"> </w:t>
      </w:r>
      <w:sdt>
        <w:sdtPr>
          <w:rPr>
            <w:color w:val="000000"/>
            <w:sz w:val="20"/>
            <w:szCs w:val="20"/>
            <w:lang w:val="en-US"/>
          </w:rPr>
          <w:tag w:val="MENDELEY_CITATION_v3_eyJjaXRhdGlvbklEIjoiTUVOREVMRVlfQ0lUQVRJT05"/>
          <w:id w:val="1696721922"/>
          <w:placeholder>
            <w:docPart w:val="12E989CE4F9C4B3FB1219A2B3489DBCA"/>
          </w:placeholder>
        </w:sdtPr>
        <w:sdtContent>
          <w:r w:rsidRPr="000C52D0">
            <w:rPr>
              <w:color w:val="000000"/>
              <w:sz w:val="20"/>
              <w:szCs w:val="20"/>
              <w:lang w:val="en-US"/>
            </w:rPr>
            <w:t>[1]</w:t>
          </w:r>
        </w:sdtContent>
      </w:sdt>
      <w:r w:rsidRPr="000C52D0">
        <w:rPr>
          <w:sz w:val="20"/>
          <w:szCs w:val="20"/>
        </w:rPr>
        <w:t>. Perubahan-perubahan yang terjadi itulah membuat lansia tampak tak berdaya dan lemah, sehingga lingkungan sosial mengurangi keterlibatan dan tanggung jawab terhadapnya. Perlakuan seperti itulah yang membuat lansia menjadi tidak percaya diri, sehingga membuat lansia berpikir bahwasanya mereka adalah orang yang lemah dan tidak diperlukan lagi</w:t>
      </w:r>
      <w:r w:rsidRPr="000C52D0">
        <w:rPr>
          <w:sz w:val="20"/>
          <w:szCs w:val="20"/>
          <w:lang w:val="en-US"/>
        </w:rPr>
        <w:t xml:space="preserve"> </w:t>
      </w:r>
      <w:sdt>
        <w:sdtPr>
          <w:rPr>
            <w:color w:val="000000"/>
            <w:sz w:val="20"/>
            <w:szCs w:val="20"/>
            <w:lang w:val="en-US"/>
          </w:rPr>
          <w:tag w:val="MENDELEY_CITATION_v3_eyJjaXRhdGlvbklEIjoiTUVOREVMRVlfQ0lUQVRJT05"/>
          <w:id w:val="1775358935"/>
          <w:placeholder>
            <w:docPart w:val="12E989CE4F9C4B3FB1219A2B3489DBCA"/>
          </w:placeholder>
        </w:sdtPr>
        <w:sdtContent>
          <w:r w:rsidRPr="000C52D0">
            <w:rPr>
              <w:color w:val="000000"/>
              <w:sz w:val="20"/>
              <w:szCs w:val="20"/>
              <w:lang w:val="en-US"/>
            </w:rPr>
            <w:t>[6]</w:t>
          </w:r>
        </w:sdtContent>
      </w:sdt>
      <w:r w:rsidRPr="000C52D0">
        <w:rPr>
          <w:sz w:val="20"/>
          <w:szCs w:val="20"/>
        </w:rPr>
        <w:t xml:space="preserve">.  </w:t>
      </w:r>
    </w:p>
    <w:p w:rsidR="000C52D0" w:rsidRPr="000C52D0" w:rsidRDefault="000C52D0" w:rsidP="000C52D0">
      <w:pPr>
        <w:pStyle w:val="JSKReferenceItem"/>
        <w:rPr>
          <w:sz w:val="20"/>
          <w:szCs w:val="20"/>
          <w:lang w:val="en-US"/>
        </w:rPr>
      </w:pPr>
      <w:r w:rsidRPr="000C52D0">
        <w:rPr>
          <w:sz w:val="20"/>
          <w:szCs w:val="20"/>
        </w:rPr>
        <w:t>Halgin &amp; Whitbourne menjelaskan bahwa kecemasan merupakan kondisi khawatir, gelisah, tegang, dan tidak nyaman di luar kendali individu yang disebabkan adanya hal buruk yang diprediksi akan terjadi</w:t>
      </w:r>
      <w:r w:rsidRPr="000C52D0">
        <w:rPr>
          <w:sz w:val="20"/>
          <w:szCs w:val="20"/>
          <w:lang w:val="en-US"/>
        </w:rPr>
        <w:t xml:space="preserve"> </w:t>
      </w:r>
      <w:sdt>
        <w:sdtPr>
          <w:rPr>
            <w:color w:val="000000"/>
            <w:sz w:val="20"/>
            <w:szCs w:val="20"/>
            <w:lang w:val="en-US"/>
          </w:rPr>
          <w:tag w:val="MENDELEY_CITATION_v3_eyJjaXRhdGlvbklEIjoiTUVOREVMRVlfQ0lUQVRJT05"/>
          <w:id w:val="-14464382"/>
          <w:placeholder>
            <w:docPart w:val="12E989CE4F9C4B3FB1219A2B3489DBCA"/>
          </w:placeholder>
        </w:sdtPr>
        <w:sdtContent>
          <w:r w:rsidRPr="000C52D0">
            <w:rPr>
              <w:color w:val="000000"/>
              <w:sz w:val="20"/>
              <w:szCs w:val="20"/>
              <w:lang w:val="en-US"/>
            </w:rPr>
            <w:t>[7]</w:t>
          </w:r>
        </w:sdtContent>
      </w:sdt>
      <w:r w:rsidRPr="000C52D0">
        <w:rPr>
          <w:sz w:val="20"/>
          <w:szCs w:val="20"/>
        </w:rPr>
        <w:t>.  Selanjutnya Freud membedakan kecemasan dalam tiga jenis yakni kecemasan neurosis, kecemasan moral, dan kecemasan realistik</w:t>
      </w:r>
      <w:r w:rsidRPr="000C52D0">
        <w:rPr>
          <w:sz w:val="20"/>
          <w:szCs w:val="20"/>
          <w:lang w:val="en-US"/>
        </w:rPr>
        <w:t xml:space="preserve"> </w:t>
      </w:r>
      <w:sdt>
        <w:sdtPr>
          <w:rPr>
            <w:color w:val="000000"/>
            <w:sz w:val="20"/>
            <w:szCs w:val="20"/>
            <w:lang w:val="en-US"/>
          </w:rPr>
          <w:tag w:val="MENDELEY_CITATION_v3_eyJjaXRhdGlvbklEIjoiTUVOREVMRVlfQ0lUQVRJT05"/>
          <w:id w:val="1743607829"/>
          <w:placeholder>
            <w:docPart w:val="12E989CE4F9C4B3FB1219A2B3489DBCA"/>
          </w:placeholder>
        </w:sdtPr>
        <w:sdtContent>
          <w:r w:rsidRPr="000C52D0">
            <w:rPr>
              <w:color w:val="000000"/>
              <w:sz w:val="20"/>
              <w:szCs w:val="20"/>
              <w:lang w:val="en-US"/>
            </w:rPr>
            <w:t>[8]</w:t>
          </w:r>
        </w:sdtContent>
      </w:sdt>
      <w:r w:rsidRPr="000C52D0">
        <w:rPr>
          <w:sz w:val="20"/>
          <w:szCs w:val="20"/>
        </w:rPr>
        <w:t>. Kurniasih menjelaskan bahwa terdapat dampak dari kecemasan yang ditunjukkan dengan adanya perasaan khawatir atau takut berlebihan, panik, munculnya perasaan tegang, tidak nyaman, dan merasa selalu dalam keadaan bahaya. Selain itu, menimbulkan perasaan gelisah hingga tidak dapat duduk dengan tenang, berbicara berlebihan dan cepat, sulit berkonsentrasi, susah tidur, rasa ingin pingsan atau tercekik, takut kehilangan kendali, takut mati, dan takut menjadi gila</w:t>
      </w:r>
      <w:r w:rsidRPr="000C52D0">
        <w:rPr>
          <w:sz w:val="20"/>
          <w:szCs w:val="20"/>
          <w:lang w:val="en-US"/>
        </w:rPr>
        <w:t xml:space="preserve"> </w:t>
      </w:r>
      <w:sdt>
        <w:sdtPr>
          <w:rPr>
            <w:color w:val="000000"/>
            <w:sz w:val="20"/>
            <w:szCs w:val="20"/>
            <w:lang w:val="en-US"/>
          </w:rPr>
          <w:tag w:val="MENDELEY_CITATION_v3_eyJjaXRhdGlvbklEIjoiTUVOREVMRVlfQ0lUQVRJT05"/>
          <w:id w:val="-902209161"/>
          <w:placeholder>
            <w:docPart w:val="12E989CE4F9C4B3FB1219A2B3489DBCA"/>
          </w:placeholder>
        </w:sdtPr>
        <w:sdtContent>
          <w:r w:rsidRPr="000C52D0">
            <w:rPr>
              <w:color w:val="000000"/>
              <w:sz w:val="20"/>
              <w:szCs w:val="20"/>
            </w:rPr>
            <w:t>[9]</w:t>
          </w:r>
        </w:sdtContent>
      </w:sdt>
    </w:p>
    <w:p w:rsidR="000C52D0" w:rsidRPr="000C52D0" w:rsidRDefault="000C52D0" w:rsidP="000C52D0">
      <w:pPr>
        <w:pStyle w:val="JSKReferenceItem"/>
        <w:rPr>
          <w:sz w:val="20"/>
          <w:szCs w:val="20"/>
        </w:rPr>
      </w:pPr>
      <w:r w:rsidRPr="000C52D0">
        <w:rPr>
          <w:sz w:val="20"/>
          <w:szCs w:val="20"/>
        </w:rPr>
        <w:t>Mengutip dari Psychology Today, dibalik adanya dampak negatif dari kecemasan, terdapat manfaat yakni kecemasan dapat memicu seseorang untuk lebih termotivasi dan siap menghadapi tantangan baru. Selain itu, kecemasan yang timbul dalam diri individu dapat menjadi acuan pengingat diri untuk menghadapi perubahan yang tidak pernah disadari, kecemasan sebagai peringatan darurat, dan kecemasan dapat membantu individu memfokuskan pada satu hal yang akan mengarahkan kepada tujuan yang hendak dicapai serta sejalan dengan Freud yang mengatakan bahwa kecemasan tidak selalu berdampak negatif namun kecemasan/stress dapat melahirkan energi pada individu untuk daya gerak individu dalam melakukan sesuatu hal yang dapat mengembalikan diri dalam kondisi normal/keluar dari masalah</w:t>
      </w:r>
      <w:r w:rsidRPr="000C52D0">
        <w:rPr>
          <w:sz w:val="20"/>
          <w:szCs w:val="20"/>
          <w:lang w:val="en-US"/>
        </w:rPr>
        <w:t xml:space="preserve"> </w:t>
      </w:r>
      <w:sdt>
        <w:sdtPr>
          <w:rPr>
            <w:color w:val="000000"/>
            <w:sz w:val="20"/>
            <w:szCs w:val="20"/>
            <w:lang w:val="en-US"/>
          </w:rPr>
          <w:tag w:val="MENDELEY_CITATION_v3_eyJjaXRhdGlvbklEIjoiTUVOREVMRVlfQ0lUQVRJT05"/>
          <w:id w:val="270678567"/>
          <w:placeholder>
            <w:docPart w:val="12E989CE4F9C4B3FB1219A2B3489DBCA"/>
          </w:placeholder>
        </w:sdtPr>
        <w:sdtContent>
          <w:r w:rsidRPr="000C52D0">
            <w:rPr>
              <w:color w:val="000000"/>
              <w:sz w:val="20"/>
              <w:szCs w:val="20"/>
              <w:lang w:val="en-US"/>
            </w:rPr>
            <w:t>[10]</w:t>
          </w:r>
        </w:sdtContent>
      </w:sdt>
      <w:r w:rsidRPr="000C52D0">
        <w:rPr>
          <w:sz w:val="20"/>
          <w:szCs w:val="20"/>
        </w:rPr>
        <w:t>.</w:t>
      </w:r>
    </w:p>
    <w:p w:rsidR="000C52D0" w:rsidRPr="000C52D0" w:rsidRDefault="000C52D0" w:rsidP="000C52D0">
      <w:pPr>
        <w:pStyle w:val="JSKReferenceItem"/>
        <w:rPr>
          <w:sz w:val="20"/>
          <w:szCs w:val="20"/>
        </w:rPr>
      </w:pPr>
      <w:r w:rsidRPr="000C52D0">
        <w:rPr>
          <w:sz w:val="20"/>
          <w:szCs w:val="20"/>
        </w:rPr>
        <w:t>Sejalan dengan hal tersebut, sebagai masyarakat yang beragama  wajib meyakini akan kedatangan akhir kehidupan manusia. Tidak ada satu manusiapun yang dapat menghindari kematian, hanya persoalan waktu dan cara yang berbedah pada setiap inidividu. Seperti yang telah dijelaskan dalam Al-Qur’an, Allah berfirman, Katakanlah, “Sesungguhnya kematian yang kamu lari dari padanya, ia pasti menemui kamu, kemudian kamu akan dikembalikan kepada (Allah), yang mengetahui yang gaib dan yang nyata, lalu Dia beritakan kepadamu apa yang telah kamu kerjakan” (Q.S Al-Jumu’ah : 8)</w:t>
      </w:r>
      <w:r w:rsidRPr="000C52D0">
        <w:rPr>
          <w:sz w:val="20"/>
          <w:szCs w:val="20"/>
          <w:lang w:val="en-US"/>
        </w:rPr>
        <w:t xml:space="preserve"> </w:t>
      </w:r>
      <w:sdt>
        <w:sdtPr>
          <w:rPr>
            <w:color w:val="000000"/>
            <w:sz w:val="20"/>
            <w:szCs w:val="20"/>
            <w:lang w:val="en-US"/>
          </w:rPr>
          <w:tag w:val="MENDELEY_CITATION_v3_eyJjaXRhdGlvbklEIjoiTUVOREVMRVlfQ0lUQVRJT05"/>
          <w:id w:val="1475869564"/>
          <w:placeholder>
            <w:docPart w:val="12E989CE4F9C4B3FB1219A2B3489DBCA"/>
          </w:placeholder>
        </w:sdtPr>
        <w:sdtContent>
          <w:r w:rsidRPr="000C52D0">
            <w:rPr>
              <w:color w:val="000000"/>
              <w:sz w:val="20"/>
              <w:szCs w:val="20"/>
              <w:lang w:val="en-US"/>
            </w:rPr>
            <w:t>[11]</w:t>
          </w:r>
        </w:sdtContent>
      </w:sdt>
      <w:r w:rsidRPr="000C52D0">
        <w:rPr>
          <w:sz w:val="20"/>
          <w:szCs w:val="20"/>
        </w:rPr>
        <w:t>.</w:t>
      </w:r>
    </w:p>
    <w:p w:rsidR="000C52D0" w:rsidRPr="000C52D0" w:rsidRDefault="000C52D0" w:rsidP="000C52D0">
      <w:pPr>
        <w:pStyle w:val="JSKReferenceItem"/>
        <w:rPr>
          <w:sz w:val="20"/>
          <w:szCs w:val="20"/>
        </w:rPr>
      </w:pPr>
      <w:r w:rsidRPr="000C52D0">
        <w:rPr>
          <w:sz w:val="20"/>
          <w:szCs w:val="20"/>
        </w:rPr>
        <w:t xml:space="preserve">Komaruddin Hidayat menjelaskan bahwa kecemasan menghadapi kematian adalah sebuah bentuk ketakutan terhadap sebuah perspektif dan kondisi emosional mengenai rentang kehidupan akhir yang dilalui oleh seseorang. Secara psikologis, sesungguhnya kita semua menolak kematian. Rasa takut terhadap kematian berakar pada keinginan laten untuk selalu hidup nyaman. Sehingga, sikap cemas menghadapi kematian itu disebabkan karena kematian identik dengan tragedi, sakit, ketidakberdayaan, kehilangan, dan kebangkrutan hidup. Sejalan dengan hal tersebut, ketakutan yang menjadi penyebab utama kecemasan menghadapi kematian ialah karena kita tidak memiliki pengetahuan apapun terhadap kehidupan setelah mati. Dimana dinyatakan oleh Al-Qur’an bahwa ada </w:t>
      </w:r>
      <w:r w:rsidRPr="000C52D0">
        <w:rPr>
          <w:sz w:val="20"/>
          <w:szCs w:val="20"/>
        </w:rPr>
        <w:lastRenderedPageBreak/>
        <w:t>risiko setelah kematian yang mana kita akan mendapatkan siksaan, baik di alam ruhani maupun di alam barzakh. Maka, tak heran kita sering merasa was-was ataupun khawatir jika berhadapan dengan kematian</w:t>
      </w:r>
      <w:r w:rsidRPr="000C52D0">
        <w:rPr>
          <w:sz w:val="20"/>
          <w:szCs w:val="20"/>
          <w:lang w:val="en-US"/>
        </w:rPr>
        <w:t xml:space="preserve"> </w:t>
      </w:r>
      <w:sdt>
        <w:sdtPr>
          <w:rPr>
            <w:color w:val="000000"/>
            <w:sz w:val="20"/>
            <w:szCs w:val="20"/>
            <w:lang w:val="en-US"/>
          </w:rPr>
          <w:tag w:val="MENDELEY_CITATION_v3_eyJjaXRhdGlvbklEIjoiTUVOREVMRVlfQ0lUQVRJT05"/>
          <w:id w:val="1575470761"/>
          <w:placeholder>
            <w:docPart w:val="12E989CE4F9C4B3FB1219A2B3489DBCA"/>
          </w:placeholder>
        </w:sdtPr>
        <w:sdtContent>
          <w:r w:rsidRPr="000C52D0">
            <w:rPr>
              <w:color w:val="000000"/>
              <w:sz w:val="20"/>
              <w:szCs w:val="20"/>
              <w:lang w:val="en-US"/>
            </w:rPr>
            <w:t>[12]</w:t>
          </w:r>
        </w:sdtContent>
      </w:sdt>
      <w:r w:rsidRPr="000C52D0">
        <w:rPr>
          <w:sz w:val="20"/>
          <w:szCs w:val="20"/>
        </w:rPr>
        <w:t xml:space="preserve">. </w:t>
      </w:r>
    </w:p>
    <w:p w:rsidR="000C52D0" w:rsidRPr="000C52D0" w:rsidRDefault="000C52D0" w:rsidP="000C52D0">
      <w:pPr>
        <w:pStyle w:val="JSKReferenceItem"/>
        <w:rPr>
          <w:sz w:val="20"/>
          <w:szCs w:val="20"/>
        </w:rPr>
      </w:pPr>
      <w:r w:rsidRPr="000C52D0">
        <w:rPr>
          <w:sz w:val="20"/>
          <w:szCs w:val="20"/>
        </w:rPr>
        <w:t>Berdasarkan penelitian terdahulu oleh Irwan, Zulfitri, dan Jumaini pada tahun 2022 dengan judul “Hubungan Persepsi Lansia Tentang Kematian Dengan Kecemasan Menghadapi Kematian” menunjukkan bahwasanya sebanyak 55 orang responden memiliki persepsi negatif terhadap kematian, sehingga mereka menjadi lebih tertekan dan takut. Adapun 5 orang responden mengalami kecemasan menghadapi kematian rendah, 42 orang responden mengalami kecemasan menghadapi kematian sedang, dan 8 orang responden mengalami tingkat kecemasan menghadapi kematian tinggi</w:t>
      </w:r>
      <w:r w:rsidRPr="000C52D0">
        <w:rPr>
          <w:sz w:val="20"/>
          <w:szCs w:val="20"/>
          <w:lang w:val="en-US"/>
        </w:rPr>
        <w:t xml:space="preserve"> </w:t>
      </w:r>
      <w:sdt>
        <w:sdtPr>
          <w:rPr>
            <w:color w:val="000000"/>
            <w:sz w:val="20"/>
            <w:szCs w:val="20"/>
            <w:lang w:val="en-US"/>
          </w:rPr>
          <w:tag w:val="MENDELEY_CITATION_v3_eyJjaXRhdGlvbklEIjoiTUVOREVMRVlfQ0lUQVRJT05"/>
          <w:id w:val="438654876"/>
          <w:placeholder>
            <w:docPart w:val="12E989CE4F9C4B3FB1219A2B3489DBCA"/>
          </w:placeholder>
        </w:sdtPr>
        <w:sdtContent>
          <w:r w:rsidRPr="000C52D0">
            <w:rPr>
              <w:color w:val="000000"/>
              <w:sz w:val="20"/>
              <w:szCs w:val="20"/>
              <w:lang w:val="en-US"/>
            </w:rPr>
            <w:t>[13]</w:t>
          </w:r>
        </w:sdtContent>
      </w:sdt>
      <w:r w:rsidRPr="000C52D0">
        <w:rPr>
          <w:sz w:val="20"/>
          <w:szCs w:val="20"/>
        </w:rPr>
        <w:t>.</w:t>
      </w:r>
    </w:p>
    <w:p w:rsidR="000C52D0" w:rsidRPr="000C52D0" w:rsidRDefault="000C52D0" w:rsidP="000C52D0">
      <w:pPr>
        <w:pStyle w:val="JSKReferenceItem"/>
        <w:rPr>
          <w:sz w:val="20"/>
          <w:szCs w:val="20"/>
        </w:rPr>
      </w:pPr>
      <w:r w:rsidRPr="000C52D0">
        <w:rPr>
          <w:sz w:val="20"/>
          <w:szCs w:val="20"/>
        </w:rPr>
        <w:t>Fakta dilapangan juga menunjukkan hal yang sama. Berdasarkan hasil wawancara yang peneliti lakukan kepada dua lansia di Liponsos Keputih Surabaya, yakni Ibu A  berusia 61 tahun dan Ibu I yang juga berusia 60 tahun mengalami kecemasan menghadapi kematian. Pada Ibu A merasakan takut ketika berbicara dan mengingat kematian yang akan menimpa dirinya sendiri. Dimana ketika ada kerabat atau tetangga yang meninggal, Ibu A merasa takut ketika hal tersebut suatu saat terjadi terhadapnya. Ibu A juga merasakan tidak bisa tidur, gelisah atau was-was, susah makan, jantung berdebar, lemas, gemetar, daya konsentrasi berkurang ketika membahas mengenai kematian, dan dihantui perasaan takut ketika melihat mayat. Selain itu, Ibu A mengatakan takut jika suatu saat berada diliang lahat mendapatkan siksaan karena dosa dan kesalahan yang pernah diperbuat, perasaan was-was jika suatu saat mengalami kematian bagaimana keadaan keluarga yang ia tinggalkan. Sedangkan</w:t>
      </w:r>
      <w:r w:rsidRPr="000C52D0">
        <w:rPr>
          <w:sz w:val="20"/>
          <w:szCs w:val="20"/>
          <w:lang w:val="en-US"/>
        </w:rPr>
        <w:t xml:space="preserve"> dari perjalanan masa lalu</w:t>
      </w:r>
      <w:r w:rsidRPr="000C52D0">
        <w:rPr>
          <w:sz w:val="20"/>
          <w:szCs w:val="20"/>
        </w:rPr>
        <w:t>, Ibu I merasakan takut terhadap kematian ketika ada pengalaman langsung perihal kematian yakni ditinggal oleh suami ataupun saudaranya. Ibu I sering mengalami mimpi buruk, takut kegelapan, dan gelisah ketika dirumah sendirian. Ibu I juga menyatakan bahwasanya ketika ada tetangganya yang meninggal ia merasakan kesedihan disertai dengan respon seluruh tubuh gemetar dan sulit berjalan karena merasa nyeri otot</w:t>
      </w:r>
      <w:r w:rsidRPr="000C52D0">
        <w:rPr>
          <w:sz w:val="20"/>
          <w:szCs w:val="20"/>
          <w:lang w:val="en-US"/>
        </w:rPr>
        <w:t>, perasaan tersebut masih belum hilang hingga saat ini</w:t>
      </w:r>
      <w:r w:rsidRPr="000C52D0">
        <w:rPr>
          <w:sz w:val="20"/>
          <w:szCs w:val="20"/>
        </w:rPr>
        <w:t xml:space="preserve">. Untuk mengatasi hal tersebut, Ibu I membaca dzikir dan doa-doa yang beliau hafal. Selain itu, peneliti juga mewawancarai salah satu </w:t>
      </w:r>
      <w:r w:rsidRPr="000C52D0">
        <w:rPr>
          <w:sz w:val="20"/>
          <w:szCs w:val="20"/>
          <w:lang w:val="en-US"/>
        </w:rPr>
        <w:t>liponsos</w:t>
      </w:r>
      <w:r w:rsidRPr="000C52D0">
        <w:rPr>
          <w:sz w:val="20"/>
          <w:szCs w:val="20"/>
        </w:rPr>
        <w:t xml:space="preserve"> desa setempat, beliau menyatakan bahwasanya terdapat penilaian dan pengaduan negatif terhadap lansia di Liponsos Keputih Surabaya dimana mereka memiliki perspektif bahwa di usia lansia, tidak ada yang dapat dilakukan kecuali berdiam diri di </w:t>
      </w:r>
      <w:r w:rsidRPr="000C52D0">
        <w:rPr>
          <w:sz w:val="20"/>
          <w:szCs w:val="20"/>
          <w:lang w:val="en-US"/>
        </w:rPr>
        <w:t>barak</w:t>
      </w:r>
      <w:r w:rsidRPr="000C52D0">
        <w:rPr>
          <w:sz w:val="20"/>
          <w:szCs w:val="20"/>
        </w:rPr>
        <w:t xml:space="preserve"> karena kondisi fisik mereka yang mulai menua. Oleh karenanya, diperlukan pula kegiatan keagamaan dan dukungan sosial agar lansia lebih termotivasi dan lebih tenang dalam menjalani sisa kehidupannya.  </w:t>
      </w:r>
    </w:p>
    <w:p w:rsidR="000C52D0" w:rsidRPr="000C52D0" w:rsidRDefault="000C52D0" w:rsidP="000C52D0">
      <w:pPr>
        <w:pStyle w:val="JSKReferenceItem"/>
        <w:rPr>
          <w:sz w:val="20"/>
          <w:szCs w:val="20"/>
        </w:rPr>
      </w:pPr>
      <w:r w:rsidRPr="000C52D0">
        <w:rPr>
          <w:sz w:val="20"/>
          <w:szCs w:val="20"/>
        </w:rPr>
        <w:t xml:space="preserve">Adapun aspek kecemasan secara umum termasuk menghadapi kematian menurut Nevid adalah terbagi menjadi aspek yang meliputi: 1) aspek fisik yaitu jantung berdebar, keringat dingin, kepala pusing, ujung-ujung jari terasa dingin, sulit tidur, dada sesak, nafsu makan menurun atau hilang gangguan pencernaan, merasa lemas, dan terasa kaku. 2) aspek perilaku (behavioral) yaitu bermalasmalasan dan menghindari perilaku dependen. 3) aspek kognitif yang meliputi adanya perasaan khawatir, perasaan takut terhadap sesuatu yang akan tercipta dimasa mendatang, khawatir akan tinggal sendiri, dan sulit berkonsentrasi menghadapi permasalahan. Sedangkan faktor-faktor yang mempengaruhi adanya kecemasan terhadap kematian antara lain, religiusitas, </w:t>
      </w:r>
      <w:r w:rsidRPr="000C52D0">
        <w:rPr>
          <w:i/>
          <w:iCs/>
          <w:sz w:val="20"/>
          <w:szCs w:val="20"/>
        </w:rPr>
        <w:t>locus of control</w:t>
      </w:r>
      <w:r w:rsidRPr="000C52D0">
        <w:rPr>
          <w:sz w:val="20"/>
          <w:szCs w:val="20"/>
        </w:rPr>
        <w:t>, kepribadian, social support, usia, jenis kelamin, integritas ego, kontrol diri, dan personal of sense fulfilment</w:t>
      </w:r>
      <w:r w:rsidRPr="000C52D0">
        <w:rPr>
          <w:sz w:val="20"/>
          <w:szCs w:val="20"/>
          <w:lang w:val="en-US"/>
        </w:rPr>
        <w:t xml:space="preserve"> </w:t>
      </w:r>
      <w:sdt>
        <w:sdtPr>
          <w:rPr>
            <w:color w:val="000000"/>
            <w:sz w:val="20"/>
            <w:szCs w:val="20"/>
            <w:lang w:val="en-US"/>
          </w:rPr>
          <w:tag w:val="MENDELEY_CITATION_v3_eyJjaXRhdGlvbklEIjoiTUVOREVMRVlfQ0lUQVRJT05"/>
          <w:id w:val="-174500119"/>
          <w:placeholder>
            <w:docPart w:val="12E989CE4F9C4B3FB1219A2B3489DBCA"/>
          </w:placeholder>
        </w:sdtPr>
        <w:sdtContent>
          <w:r w:rsidRPr="000C52D0">
            <w:rPr>
              <w:color w:val="000000"/>
              <w:sz w:val="20"/>
              <w:szCs w:val="20"/>
              <w:lang w:val="en-US"/>
            </w:rPr>
            <w:t>[14]</w:t>
          </w:r>
        </w:sdtContent>
      </w:sdt>
      <w:r w:rsidRPr="000C52D0">
        <w:rPr>
          <w:sz w:val="20"/>
          <w:szCs w:val="20"/>
        </w:rPr>
        <w:t>.</w:t>
      </w:r>
    </w:p>
    <w:p w:rsidR="000C52D0" w:rsidRPr="000C52D0" w:rsidRDefault="000C52D0" w:rsidP="000C52D0">
      <w:pPr>
        <w:pStyle w:val="JSKReferenceItem"/>
        <w:rPr>
          <w:sz w:val="20"/>
          <w:szCs w:val="20"/>
        </w:rPr>
      </w:pPr>
      <w:r w:rsidRPr="000C52D0">
        <w:rPr>
          <w:sz w:val="20"/>
          <w:szCs w:val="20"/>
        </w:rPr>
        <w:t>Putri mengatakan bahwa religiusitas dan keyakinan keagamaan merupakan salah satu komponen penting dalam meningkatkan kehidupan yang bermakna secara psikologis pada diri seseorang</w:t>
      </w:r>
      <w:r w:rsidRPr="000C52D0">
        <w:rPr>
          <w:sz w:val="20"/>
          <w:szCs w:val="20"/>
          <w:lang w:val="en-US"/>
        </w:rPr>
        <w:t xml:space="preserve"> </w:t>
      </w:r>
      <w:sdt>
        <w:sdtPr>
          <w:rPr>
            <w:color w:val="000000"/>
            <w:sz w:val="20"/>
            <w:szCs w:val="20"/>
            <w:lang w:val="en-US"/>
          </w:rPr>
          <w:tag w:val="MENDELEY_CITATION_v3_eyJjaXRhdGlvbklEIjoiTUVOREVMRVlfQ0lUQVRJT05"/>
          <w:id w:val="-1460804008"/>
          <w:placeholder>
            <w:docPart w:val="12E989CE4F9C4B3FB1219A2B3489DBCA"/>
          </w:placeholder>
        </w:sdtPr>
        <w:sdtContent>
          <w:r w:rsidRPr="000C52D0">
            <w:rPr>
              <w:color w:val="000000"/>
              <w:sz w:val="20"/>
              <w:szCs w:val="20"/>
            </w:rPr>
            <w:t>[15]</w:t>
          </w:r>
        </w:sdtContent>
      </w:sdt>
      <w:r w:rsidRPr="000C52D0">
        <w:rPr>
          <w:sz w:val="20"/>
          <w:szCs w:val="20"/>
        </w:rPr>
        <w:t>. Amawidyati mengungkapkan bahwa sikap positif seperti ketabahan, adanya penerimaan, serta hubungan yang positif dengan orang lain akan membentuk kondisi psikologis yang positif pula</w:t>
      </w:r>
      <w:r w:rsidRPr="000C52D0">
        <w:rPr>
          <w:sz w:val="20"/>
          <w:szCs w:val="20"/>
          <w:lang w:val="en-US"/>
        </w:rPr>
        <w:t xml:space="preserve"> </w:t>
      </w:r>
      <w:sdt>
        <w:sdtPr>
          <w:rPr>
            <w:color w:val="000000"/>
            <w:sz w:val="20"/>
            <w:szCs w:val="20"/>
            <w:lang w:val="en-US"/>
          </w:rPr>
          <w:tag w:val="MENDELEY_CITATION_v3_eyJjaXRhdGlvbklEIjoiTUVOREVMRVlfQ0lUQVRJT05"/>
          <w:id w:val="427625604"/>
          <w:placeholder>
            <w:docPart w:val="12E989CE4F9C4B3FB1219A2B3489DBCA"/>
          </w:placeholder>
        </w:sdtPr>
        <w:sdtContent>
          <w:r w:rsidRPr="000C52D0">
            <w:rPr>
              <w:color w:val="000000"/>
              <w:sz w:val="20"/>
              <w:szCs w:val="20"/>
              <w:lang w:val="en-US"/>
            </w:rPr>
            <w:t>[16]</w:t>
          </w:r>
        </w:sdtContent>
      </w:sdt>
      <w:r w:rsidRPr="000C52D0">
        <w:rPr>
          <w:sz w:val="20"/>
          <w:szCs w:val="20"/>
        </w:rPr>
        <w:t>. Urgensi dari religiusitas untuk mengatasi kecemasan menghadapi kematian ini adalah seseorang tidak merasakan kesendirian, kesepian, tidak putus asa dan hati merasa tenang damai, serta merasa dekat dengan Allah Swt</w:t>
      </w:r>
      <w:r w:rsidRPr="000C52D0">
        <w:rPr>
          <w:sz w:val="20"/>
          <w:szCs w:val="20"/>
          <w:lang w:val="en-US"/>
        </w:rPr>
        <w:t xml:space="preserve"> </w:t>
      </w:r>
      <w:sdt>
        <w:sdtPr>
          <w:rPr>
            <w:color w:val="000000"/>
            <w:sz w:val="20"/>
            <w:szCs w:val="20"/>
            <w:lang w:val="en-US"/>
          </w:rPr>
          <w:tag w:val="MENDELEY_CITATION_v3_eyJjaXRhdGlvbklEIjoiTUVOREVMRVlfQ0lUQVRJT05"/>
          <w:id w:val="1869718432"/>
          <w:placeholder>
            <w:docPart w:val="12E989CE4F9C4B3FB1219A2B3489DBCA"/>
          </w:placeholder>
        </w:sdtPr>
        <w:sdtContent>
          <w:r w:rsidRPr="000C52D0">
            <w:rPr>
              <w:color w:val="000000"/>
              <w:sz w:val="20"/>
              <w:szCs w:val="20"/>
              <w:lang w:val="en-US"/>
            </w:rPr>
            <w:t>[17]</w:t>
          </w:r>
        </w:sdtContent>
      </w:sdt>
      <w:r w:rsidRPr="000C52D0">
        <w:rPr>
          <w:sz w:val="20"/>
          <w:szCs w:val="20"/>
        </w:rPr>
        <w:t xml:space="preserve">. Gazalba mengatakan bahwa religiusitas bersumber dari kata </w:t>
      </w:r>
      <w:r w:rsidRPr="000C52D0">
        <w:rPr>
          <w:i/>
          <w:sz w:val="20"/>
          <w:szCs w:val="20"/>
        </w:rPr>
        <w:t xml:space="preserve">religi </w:t>
      </w:r>
      <w:r w:rsidRPr="000C52D0">
        <w:rPr>
          <w:sz w:val="20"/>
          <w:szCs w:val="20"/>
        </w:rPr>
        <w:t xml:space="preserve">yang bahasa latinnya </w:t>
      </w:r>
      <w:r w:rsidRPr="000C52D0">
        <w:rPr>
          <w:i/>
          <w:sz w:val="20"/>
          <w:szCs w:val="20"/>
        </w:rPr>
        <w:t xml:space="preserve">religio, </w:t>
      </w:r>
      <w:r w:rsidRPr="000C52D0">
        <w:rPr>
          <w:sz w:val="20"/>
          <w:szCs w:val="20"/>
        </w:rPr>
        <w:t xml:space="preserve">dengan permulaan kata adalah </w:t>
      </w:r>
      <w:r w:rsidRPr="000C52D0">
        <w:rPr>
          <w:i/>
          <w:sz w:val="20"/>
          <w:szCs w:val="20"/>
        </w:rPr>
        <w:t xml:space="preserve">regilure </w:t>
      </w:r>
      <w:r w:rsidRPr="000C52D0">
        <w:rPr>
          <w:sz w:val="20"/>
          <w:szCs w:val="20"/>
        </w:rPr>
        <w:t>yang berarti meningkat. Dengan demikian, religiusitas merupakan bentuk keterkaitan antara seseorang terhadap nilai moral atau keyakinannya (religi/agama) yang pada umumnya memberikan tanggung jawab untuk dipatuhi oleh para penganutnya, sehingga terjadi peningkatan nilai-nilai spiritual seperti hubungan antara manusia dengan Tuhan, sesama individu, dan alam sekitarnya</w:t>
      </w:r>
      <w:sdt>
        <w:sdtPr>
          <w:rPr>
            <w:color w:val="000000"/>
            <w:sz w:val="20"/>
            <w:szCs w:val="20"/>
          </w:rPr>
          <w:tag w:val="MENDELEY_CITATION_v3_eyJjaXRhdGlvbklEIjoiTUVOREVMRVlfQ0lUQVRJT05"/>
          <w:id w:val="1168599447"/>
          <w:placeholder>
            <w:docPart w:val="12E989CE4F9C4B3FB1219A2B3489DBCA"/>
          </w:placeholder>
        </w:sdtPr>
        <w:sdtContent>
          <w:r w:rsidRPr="000C52D0">
            <w:rPr>
              <w:color w:val="000000"/>
              <w:sz w:val="20"/>
              <w:szCs w:val="20"/>
            </w:rPr>
            <w:t>[18]</w:t>
          </w:r>
        </w:sdtContent>
      </w:sdt>
      <w:r w:rsidRPr="000C52D0">
        <w:rPr>
          <w:sz w:val="20"/>
          <w:szCs w:val="20"/>
        </w:rPr>
        <w:t>.</w:t>
      </w:r>
    </w:p>
    <w:p w:rsidR="000C52D0" w:rsidRPr="000C52D0" w:rsidRDefault="000C52D0" w:rsidP="000C52D0">
      <w:pPr>
        <w:pStyle w:val="JSKReferenceItem"/>
        <w:rPr>
          <w:sz w:val="20"/>
          <w:szCs w:val="20"/>
        </w:rPr>
      </w:pPr>
      <w:r w:rsidRPr="000C52D0">
        <w:rPr>
          <w:sz w:val="20"/>
          <w:szCs w:val="20"/>
        </w:rPr>
        <w:t>Sejalan dengan hal tersebut terdapat penelitian terdahulu dari Pamungkas, Wiyanti, dan Widya Agustin mengatakan religiusitas dan dukungan sosial memberikan pengaruh yang signifikan terhadap kecemasan menghadapi tutup usia pada lansia di Kelurahan Jebres Surakarta. Apabila religiusitas dan dukungan sosial tersebut tinggi maka kecemasan menghadapi tutup usia pun menjadi rendah</w:t>
      </w:r>
      <w:r w:rsidRPr="000C52D0">
        <w:rPr>
          <w:sz w:val="20"/>
          <w:szCs w:val="20"/>
          <w:lang w:val="en-US"/>
        </w:rPr>
        <w:t xml:space="preserve"> </w:t>
      </w:r>
      <w:sdt>
        <w:sdtPr>
          <w:rPr>
            <w:color w:val="000000"/>
            <w:sz w:val="20"/>
            <w:szCs w:val="20"/>
            <w:lang w:val="en-US"/>
          </w:rPr>
          <w:tag w:val="MENDELEY_CITATION_v3_eyJjaXRhdGlvbklEIjoiTUVOREVMRVlfQ0lUQVRJT05"/>
          <w:id w:val="-732703010"/>
          <w:placeholder>
            <w:docPart w:val="12E989CE4F9C4B3FB1219A2B3489DBCA"/>
          </w:placeholder>
        </w:sdtPr>
        <w:sdtContent>
          <w:r w:rsidRPr="000C52D0">
            <w:rPr>
              <w:color w:val="000000"/>
              <w:sz w:val="20"/>
              <w:szCs w:val="20"/>
              <w:lang w:val="en-US"/>
            </w:rPr>
            <w:t>[19]</w:t>
          </w:r>
        </w:sdtContent>
      </w:sdt>
      <w:r w:rsidRPr="000C52D0">
        <w:rPr>
          <w:sz w:val="20"/>
          <w:szCs w:val="20"/>
        </w:rPr>
        <w:t>. Adapun penelitian terdahulu dari Maghfiroh, Zainuri, dan Sudarsih pada tahun 2022 juga menunjukkan hasil bahwa lansia dengan religiusitas yang tinggi (54,7%) akan menjalani masa tua nya dengan penuh ketenangan tanpa ada rasa cemas dalam menghadapi kematian. Adapun penelitian lain dari Mellawati pada tahun 2019 menunjukkan bahwa tingginya tingkat religiusitas yang diterapkan dapat memberikan pengaruh terhadap rendahnya tingkat kecemasan kematian pada lansia</w:t>
      </w:r>
      <w:sdt>
        <w:sdtPr>
          <w:rPr>
            <w:color w:val="000000"/>
            <w:sz w:val="20"/>
            <w:szCs w:val="20"/>
          </w:rPr>
          <w:tag w:val="MENDELEY_CITATION_v3_eyJjaXRhdGlvbklEIjoiTUVOREVMRVlfQ0lUQVRJT05"/>
          <w:id w:val="544799317"/>
          <w:placeholder>
            <w:docPart w:val="12E989CE4F9C4B3FB1219A2B3489DBCA"/>
          </w:placeholder>
        </w:sdtPr>
        <w:sdtContent>
          <w:r w:rsidRPr="000C52D0">
            <w:rPr>
              <w:color w:val="000000"/>
              <w:sz w:val="20"/>
              <w:szCs w:val="20"/>
            </w:rPr>
            <w:t>[18]</w:t>
          </w:r>
        </w:sdtContent>
      </w:sdt>
      <w:r w:rsidRPr="000C52D0">
        <w:rPr>
          <w:sz w:val="20"/>
          <w:szCs w:val="20"/>
        </w:rPr>
        <w:t>.</w:t>
      </w:r>
    </w:p>
    <w:p w:rsidR="000C52D0" w:rsidRPr="000C52D0" w:rsidRDefault="000C52D0" w:rsidP="000C52D0">
      <w:pPr>
        <w:pStyle w:val="JSKReferenceItem"/>
        <w:rPr>
          <w:sz w:val="20"/>
          <w:szCs w:val="20"/>
        </w:rPr>
      </w:pPr>
      <w:r w:rsidRPr="000C52D0">
        <w:rPr>
          <w:sz w:val="20"/>
          <w:szCs w:val="20"/>
        </w:rPr>
        <w:t>Selain religiusitas, dukungan sosial juga memberikan pengaruh kuat terhadap keberlangsungan hidup seseorang. Garmenzy menyatakan bahwa terdapat manfaat dari dukungan sosial, yaitu dapat mengurangi kecemasan yang merupakan faktor munculnya stress</w:t>
      </w:r>
      <w:r w:rsidRPr="000C52D0">
        <w:rPr>
          <w:sz w:val="20"/>
          <w:szCs w:val="20"/>
          <w:lang w:val="en-US"/>
        </w:rPr>
        <w:t xml:space="preserve"> </w:t>
      </w:r>
      <w:sdt>
        <w:sdtPr>
          <w:rPr>
            <w:color w:val="000000"/>
            <w:sz w:val="20"/>
            <w:szCs w:val="20"/>
            <w:lang w:val="en-US"/>
          </w:rPr>
          <w:tag w:val="MENDELEY_CITATION_v3_eyJjaXRhdGlvbklEIjoiTUVOREVMRVlfQ0lUQVRJT05"/>
          <w:id w:val="1504860129"/>
          <w:placeholder>
            <w:docPart w:val="12E989CE4F9C4B3FB1219A2B3489DBCA"/>
          </w:placeholder>
        </w:sdtPr>
        <w:sdtContent>
          <w:r w:rsidRPr="000C52D0">
            <w:rPr>
              <w:color w:val="000000"/>
              <w:sz w:val="20"/>
              <w:szCs w:val="20"/>
            </w:rPr>
            <w:t>[20]</w:t>
          </w:r>
        </w:sdtContent>
      </w:sdt>
      <w:r w:rsidRPr="000C52D0">
        <w:rPr>
          <w:sz w:val="20"/>
          <w:szCs w:val="20"/>
        </w:rPr>
        <w:t>. Pendapat lain juga disampaikan oleh Christensen, Martin &amp; Smyth yang mengatakan bahwa dukungan sosial sangat dibutuhkan oleh semua individu</w:t>
      </w:r>
      <w:r w:rsidRPr="000C52D0">
        <w:rPr>
          <w:sz w:val="20"/>
          <w:szCs w:val="20"/>
          <w:lang w:val="en-US"/>
        </w:rPr>
        <w:t xml:space="preserve"> </w:t>
      </w:r>
      <w:sdt>
        <w:sdtPr>
          <w:rPr>
            <w:color w:val="000000"/>
            <w:sz w:val="20"/>
            <w:szCs w:val="20"/>
            <w:lang w:val="en-US"/>
          </w:rPr>
          <w:tag w:val="MENDELEY_CITATION_v3_eyJjaXRhdGlvbklEIjoiTUVOREVMRVlfQ0lUQVRJT05"/>
          <w:id w:val="-832212301"/>
          <w:placeholder>
            <w:docPart w:val="12E989CE4F9C4B3FB1219A2B3489DBCA"/>
          </w:placeholder>
        </w:sdtPr>
        <w:sdtContent>
          <w:r w:rsidRPr="000C52D0">
            <w:rPr>
              <w:color w:val="000000"/>
              <w:sz w:val="20"/>
              <w:szCs w:val="20"/>
              <w:lang w:val="en-US"/>
            </w:rPr>
            <w:t>[21]</w:t>
          </w:r>
        </w:sdtContent>
      </w:sdt>
      <w:r w:rsidRPr="000C52D0">
        <w:rPr>
          <w:sz w:val="20"/>
          <w:szCs w:val="20"/>
        </w:rPr>
        <w:t xml:space="preserve">. Sarafino mendefinisikan </w:t>
      </w:r>
      <w:r w:rsidRPr="000C52D0">
        <w:rPr>
          <w:sz w:val="20"/>
          <w:szCs w:val="20"/>
        </w:rPr>
        <w:lastRenderedPageBreak/>
        <w:t>dukungan sosial sebagai berikut “Social support is generally used to refer to the perceived comfort, caring, esteem or help a person receives from other people or groups”. Artinya dukungan atau bantuan yang dibutuhkan oleh lansia bisa didapatkan dari bermacam-macam sumber seperti keluarga, teman, dokter atau professional dan organisasi kemasyarakatan</w:t>
      </w:r>
      <w:r w:rsidRPr="000C52D0">
        <w:rPr>
          <w:sz w:val="20"/>
          <w:szCs w:val="20"/>
          <w:lang w:val="en-US"/>
        </w:rPr>
        <w:t xml:space="preserve"> </w:t>
      </w:r>
      <w:sdt>
        <w:sdtPr>
          <w:rPr>
            <w:color w:val="000000"/>
            <w:sz w:val="20"/>
            <w:szCs w:val="20"/>
            <w:lang w:val="en-US"/>
          </w:rPr>
          <w:tag w:val="MENDELEY_CITATION_v3_eyJjaXRhdGlvbklEIjoiTUVOREVMRVlfQ0lUQVRJT05"/>
          <w:id w:val="-1723586283"/>
          <w:placeholder>
            <w:docPart w:val="12E989CE4F9C4B3FB1219A2B3489DBCA"/>
          </w:placeholder>
        </w:sdtPr>
        <w:sdtContent>
          <w:r w:rsidRPr="000C52D0">
            <w:rPr>
              <w:color w:val="000000"/>
              <w:sz w:val="20"/>
              <w:szCs w:val="20"/>
              <w:lang w:val="en-US"/>
            </w:rPr>
            <w:t>[22]</w:t>
          </w:r>
        </w:sdtContent>
      </w:sdt>
      <w:r w:rsidRPr="000C52D0">
        <w:rPr>
          <w:sz w:val="20"/>
          <w:szCs w:val="20"/>
        </w:rPr>
        <w:t>. Pada dasaranya, menurut Cutrona &amp; Gardner terdapat lima aspek dukungan sosial, yakni dukungan emosional, dukungan penghargaan, dukungan informasi, dukungan instrumental, dan dukungan kelompok</w:t>
      </w:r>
      <w:r w:rsidRPr="000C52D0">
        <w:rPr>
          <w:sz w:val="20"/>
          <w:szCs w:val="20"/>
          <w:lang w:val="en-US"/>
        </w:rPr>
        <w:t xml:space="preserve"> </w:t>
      </w:r>
      <w:sdt>
        <w:sdtPr>
          <w:rPr>
            <w:color w:val="000000"/>
            <w:sz w:val="20"/>
            <w:szCs w:val="20"/>
            <w:lang w:val="en-US"/>
          </w:rPr>
          <w:tag w:val="MENDELEY_CITATION_v3_eyJjaXRhdGlvbklEIjoiTUVOREVMRVlfQ0lUQVRJT05"/>
          <w:id w:val="-893739303"/>
          <w:placeholder>
            <w:docPart w:val="12E989CE4F9C4B3FB1219A2B3489DBCA"/>
          </w:placeholder>
        </w:sdtPr>
        <w:sdtContent>
          <w:r w:rsidRPr="000C52D0">
            <w:rPr>
              <w:color w:val="000000"/>
              <w:sz w:val="20"/>
              <w:szCs w:val="20"/>
              <w:lang w:val="en-US"/>
            </w:rPr>
            <w:t>[23]</w:t>
          </w:r>
        </w:sdtContent>
      </w:sdt>
      <w:r w:rsidRPr="000C52D0">
        <w:rPr>
          <w:sz w:val="20"/>
          <w:szCs w:val="20"/>
        </w:rPr>
        <w:t>.</w:t>
      </w:r>
    </w:p>
    <w:p w:rsidR="000C52D0" w:rsidRPr="000C52D0" w:rsidRDefault="000C52D0" w:rsidP="000C52D0">
      <w:pPr>
        <w:pStyle w:val="JSKReferenceItem"/>
        <w:rPr>
          <w:sz w:val="20"/>
          <w:szCs w:val="20"/>
        </w:rPr>
      </w:pPr>
      <w:r w:rsidRPr="000C52D0">
        <w:rPr>
          <w:sz w:val="20"/>
          <w:szCs w:val="20"/>
        </w:rPr>
        <w:t>Penelitian yang dilakukan oleh Kurniasih dan Nurjanah pada tahun 2020 menunjukkan bahwa terdapat hubungan dengan korelasi positif antara dukungan keluarga dan kecemasan kematian, dimana dukungan keluarga memiliki peran dalam menurunkan tingkat kecemasan menghadapi kematian pada lansia</w:t>
      </w:r>
      <w:r w:rsidRPr="000C52D0">
        <w:rPr>
          <w:sz w:val="20"/>
          <w:szCs w:val="20"/>
          <w:lang w:val="en-US"/>
        </w:rPr>
        <w:t xml:space="preserve"> </w:t>
      </w:r>
      <w:sdt>
        <w:sdtPr>
          <w:rPr>
            <w:color w:val="000000"/>
            <w:sz w:val="20"/>
            <w:szCs w:val="20"/>
            <w:lang w:val="en-US"/>
          </w:rPr>
          <w:tag w:val="MENDELEY_CITATION_v3_eyJjaXRhdGlvbklEIjoiTUVOREVMRVlfQ0lUQVRJT05"/>
          <w:id w:val="1155884864"/>
          <w:placeholder>
            <w:docPart w:val="12E989CE4F9C4B3FB1219A2B3489DBCA"/>
          </w:placeholder>
        </w:sdtPr>
        <w:sdtContent>
          <w:r w:rsidRPr="000C52D0">
            <w:rPr>
              <w:color w:val="000000"/>
              <w:sz w:val="20"/>
              <w:szCs w:val="20"/>
            </w:rPr>
            <w:t>[9]</w:t>
          </w:r>
        </w:sdtContent>
      </w:sdt>
      <w:r w:rsidRPr="000C52D0">
        <w:rPr>
          <w:sz w:val="20"/>
          <w:szCs w:val="20"/>
        </w:rPr>
        <w:t>. Penelitian lain ditunjukkan oleh Novita, Romayati, Wahyudi, Zainaro pada tahun 2014 mengenai “Hubungan Dukungan Keluarga Dengan Kecemasan Pada Lansia Di Desa Banjar Jaya Wilayah Kerja Puskesmas Bandar Jaya Lampung Tengah” menunjukkan bahwa terdapat hubungan antara dukungan keluarga dengan kecemasan menghadapi kematian pada lansia. Dukungan keluarga tersebut memberikan pengaruh positif terhadap perilaku lansia yang adaptif dalam mengatasi permasalahannya</w:t>
      </w:r>
      <w:r w:rsidRPr="000C52D0">
        <w:rPr>
          <w:sz w:val="20"/>
          <w:szCs w:val="20"/>
          <w:lang w:val="en-US"/>
        </w:rPr>
        <w:t xml:space="preserve"> </w:t>
      </w:r>
      <w:sdt>
        <w:sdtPr>
          <w:rPr>
            <w:color w:val="000000"/>
            <w:sz w:val="20"/>
            <w:szCs w:val="20"/>
            <w:lang w:val="en-US"/>
          </w:rPr>
          <w:tag w:val="MENDELEY_CITATION_v3_eyJjaXRhdGlvbklEIjoiTUVOREVMRVlfQ0lUQVRJT05"/>
          <w:id w:val="-2014452032"/>
          <w:placeholder>
            <w:docPart w:val="12E989CE4F9C4B3FB1219A2B3489DBCA"/>
          </w:placeholder>
        </w:sdtPr>
        <w:sdtContent>
          <w:r w:rsidRPr="000C52D0">
            <w:rPr>
              <w:color w:val="000000"/>
              <w:sz w:val="20"/>
              <w:szCs w:val="20"/>
              <w:lang w:val="en-US"/>
            </w:rPr>
            <w:t>[24]</w:t>
          </w:r>
        </w:sdtContent>
      </w:sdt>
      <w:r w:rsidRPr="000C52D0">
        <w:rPr>
          <w:sz w:val="20"/>
          <w:szCs w:val="20"/>
        </w:rPr>
        <w:t>.</w:t>
      </w:r>
    </w:p>
    <w:p w:rsidR="000C52D0" w:rsidRPr="000C52D0" w:rsidRDefault="000C52D0" w:rsidP="000C52D0">
      <w:pPr>
        <w:pStyle w:val="JSKReferenceItem"/>
        <w:rPr>
          <w:sz w:val="24"/>
        </w:rPr>
      </w:pPr>
      <w:r w:rsidRPr="000C52D0">
        <w:rPr>
          <w:sz w:val="20"/>
          <w:szCs w:val="20"/>
          <w:lang w:val="en-US"/>
        </w:rPr>
        <w:t xml:space="preserve">Yang menjadi pembeda dalam penelitian ini adalah penambahan variabel dukungan sosial sebagai X2, dan menggunakan subyek lansia sebagai sampel penelitian karena sering ditemukan pada variabel kecemasan adalah subjek penelitian menggunakan remaja. </w:t>
      </w:r>
      <w:r w:rsidRPr="000C52D0">
        <w:rPr>
          <w:sz w:val="20"/>
          <w:szCs w:val="20"/>
        </w:rPr>
        <w:t xml:space="preserve">Berdasarkan uraian di atas </w:t>
      </w:r>
      <w:r w:rsidRPr="000C52D0">
        <w:rPr>
          <w:sz w:val="20"/>
          <w:szCs w:val="20"/>
          <w:lang w:val="en-US"/>
        </w:rPr>
        <w:t>penelitian ini bertujuan untuk menganalisa pengaruh</w:t>
      </w:r>
      <w:r w:rsidRPr="000C52D0">
        <w:rPr>
          <w:sz w:val="20"/>
          <w:szCs w:val="20"/>
        </w:rPr>
        <w:t xml:space="preserve"> religiusitas dan dukungan sosial </w:t>
      </w:r>
      <w:r w:rsidRPr="000C52D0">
        <w:rPr>
          <w:sz w:val="20"/>
          <w:szCs w:val="20"/>
          <w:lang w:val="en-US"/>
        </w:rPr>
        <w:t>terhadap kecemasan menghadapi kematian pada lanjut usia. Dalam penelitian ini terdapat hipotesa berupa, hipotesa mayor yaitu terdapat pengaruh yang signifikan antara religiusitas dan dukungan sosial terhadap kecemasan menghadapi kematian pada lanjut usia, lalu hipotesa minor 1 yaitu terdapat pengaruh signifikan antara religiusitas terhadap kecemasan menghadapi kematian pada lanjut usia, selanjutnya hipotesa minor 2 yaitu terdapat pengaruh signifikan antara dukungan sosial terhadap kecemasan menghadapi kematian pada lanjut usia.</w:t>
      </w:r>
      <w:r w:rsidR="0009570F">
        <w:rPr>
          <w:color w:val="000000"/>
          <w:sz w:val="20"/>
          <w:szCs w:val="20"/>
        </w:rPr>
        <w:t xml:space="preserve"> </w:t>
      </w:r>
    </w:p>
    <w:p w:rsidR="00BE5093" w:rsidRDefault="0009570F" w:rsidP="000C52D0">
      <w:pPr>
        <w:pStyle w:val="JSKReferenceItem"/>
        <w:jc w:val="center"/>
        <w:rPr>
          <w:sz w:val="24"/>
        </w:rPr>
      </w:pPr>
      <w:r>
        <w:rPr>
          <w:sz w:val="24"/>
        </w:rPr>
        <w:t>II. Metode</w:t>
      </w:r>
    </w:p>
    <w:p w:rsidR="000C52D0" w:rsidRPr="000C52D0" w:rsidRDefault="000C52D0" w:rsidP="000C52D0">
      <w:pPr>
        <w:pStyle w:val="JSKReferenceItem"/>
        <w:rPr>
          <w:sz w:val="20"/>
          <w:szCs w:val="20"/>
        </w:rPr>
      </w:pPr>
      <w:r w:rsidRPr="000C52D0">
        <w:rPr>
          <w:sz w:val="20"/>
          <w:szCs w:val="20"/>
        </w:rPr>
        <w:t>Penelitian ini menggunakan pendekatan kuantitatif dengan metode penelitian korelasi</w:t>
      </w:r>
      <w:r w:rsidRPr="000C52D0">
        <w:rPr>
          <w:sz w:val="20"/>
          <w:szCs w:val="20"/>
          <w:lang w:val="en-US"/>
        </w:rPr>
        <w:t xml:space="preserve"> </w:t>
      </w:r>
      <w:sdt>
        <w:sdtPr>
          <w:rPr>
            <w:color w:val="000000"/>
            <w:sz w:val="20"/>
            <w:szCs w:val="20"/>
            <w:lang w:val="en-US"/>
          </w:rPr>
          <w:tag w:val="MENDELEY_CITATION_v3_eyJjaXRhdGlvbklEIjoiTUVOREVMRVlfQ0lUQVRJT05"/>
          <w:id w:val="94216083"/>
          <w:placeholder>
            <w:docPart w:val="78247B30EEAD4B578B491DD3B22C1B12"/>
          </w:placeholder>
        </w:sdtPr>
        <w:sdtContent>
          <w:r w:rsidRPr="000C52D0">
            <w:rPr>
              <w:color w:val="000000"/>
              <w:sz w:val="20"/>
              <w:szCs w:val="20"/>
              <w:lang w:val="en-US"/>
            </w:rPr>
            <w:t>[25]</w:t>
          </w:r>
        </w:sdtContent>
      </w:sdt>
      <w:r w:rsidRPr="000C52D0">
        <w:rPr>
          <w:sz w:val="20"/>
          <w:szCs w:val="20"/>
        </w:rPr>
        <w:t xml:space="preserve">. </w:t>
      </w:r>
      <w:r w:rsidRPr="000C52D0">
        <w:rPr>
          <w:sz w:val="20"/>
          <w:szCs w:val="20"/>
          <w:lang w:val="en-US"/>
        </w:rPr>
        <w:t>Jenis p</w:t>
      </w:r>
      <w:r w:rsidRPr="000C52D0">
        <w:rPr>
          <w:sz w:val="20"/>
          <w:szCs w:val="20"/>
        </w:rPr>
        <w:t xml:space="preserve">opulasi dalam penelitian ini adalah individu lanjut usia di Liponsos Keputih Surabaya. Jumlah sampel dalam penelitian ini sebanyak 2 barak, yang masing-masing barak diambil 50 responden. Sehingga, total responden dalam penelitian ini sebanyak 100 responden. Karakteristik populasi dalam penelitian ini ialah laki-laki dan perempuan, berusia 60 tahun ke atas, komunikatif, tinggal di Liponsos Keputih Surabaya, dan beragama islam. Teknik pengambilan sampel yang digunakan ialah purposive quota random sampling. </w:t>
      </w:r>
    </w:p>
    <w:p w:rsidR="000C52D0" w:rsidRPr="000C52D0" w:rsidRDefault="000C52D0" w:rsidP="000C52D0">
      <w:pPr>
        <w:pStyle w:val="JSKReferenceItem"/>
        <w:rPr>
          <w:sz w:val="20"/>
          <w:szCs w:val="20"/>
        </w:rPr>
      </w:pPr>
      <w:r w:rsidRPr="000C52D0">
        <w:rPr>
          <w:sz w:val="20"/>
          <w:szCs w:val="20"/>
        </w:rPr>
        <w:t>Semua skala dalam penelitian ini menggunakan model skala likert yang telah dimodifikasi. Adapun untuk mengukur religiusitas dalam penelitian ini yakni menggunakan skala religiusitas disusun oleh Kartikasari dengan mengacu pada konsep Glock dan Stark. Nilai reliabilitas pada skala tersebut yaitu 0,932</w:t>
      </w:r>
      <w:r w:rsidRPr="000C52D0">
        <w:rPr>
          <w:sz w:val="20"/>
          <w:szCs w:val="20"/>
          <w:lang w:val="en-US"/>
        </w:rPr>
        <w:t xml:space="preserve"> </w:t>
      </w:r>
      <w:sdt>
        <w:sdtPr>
          <w:rPr>
            <w:color w:val="000000"/>
            <w:sz w:val="20"/>
            <w:szCs w:val="20"/>
            <w:lang w:val="en-US"/>
          </w:rPr>
          <w:tag w:val="MENDELEY_CITATION_v3_eyJjaXRhdGlvbklEIjoiTUVOREVMRVlfQ0lUQVRJT05"/>
          <w:id w:val="-1106347163"/>
          <w:placeholder>
            <w:docPart w:val="78247B30EEAD4B578B491DD3B22C1B12"/>
          </w:placeholder>
        </w:sdtPr>
        <w:sdtContent>
          <w:r w:rsidRPr="000C52D0">
            <w:rPr>
              <w:color w:val="000000"/>
              <w:sz w:val="20"/>
              <w:szCs w:val="20"/>
              <w:lang w:val="en-US"/>
            </w:rPr>
            <w:t>[26]</w:t>
          </w:r>
        </w:sdtContent>
      </w:sdt>
      <w:r w:rsidRPr="000C52D0">
        <w:rPr>
          <w:sz w:val="20"/>
          <w:szCs w:val="20"/>
        </w:rPr>
        <w:t>. Sedangkan, untuk mengukur kecemasan menghadapi kematian menggunakan skala yang telah dimodifikasi oleh sabiq dari Death Anxiety Scale (DAS) yang disusun oleh Templer pada tahun 1970. Nilai reliabilitas pada skala tersebut yaitu 0,976 Selain itu, untuk mengukur dukungan sosial, peneliti menggunakan adaptasi skala dukungan sosial dari Sabiq yang dikonstruk dengan menggunakan teori sarafino yakni dengan dimensi dukungan sosial yang meliputi dukungan emosional, dukungan instrumental, dukungan informasi, dan dukungan persahabatan. Nilai reliabilitas pada skala tersebut yaitu 0,873</w:t>
      </w:r>
      <w:r w:rsidRPr="000C52D0">
        <w:rPr>
          <w:sz w:val="20"/>
          <w:szCs w:val="20"/>
          <w:lang w:val="en-US"/>
        </w:rPr>
        <w:t xml:space="preserve"> </w:t>
      </w:r>
      <w:sdt>
        <w:sdtPr>
          <w:rPr>
            <w:color w:val="000000"/>
            <w:sz w:val="20"/>
            <w:szCs w:val="20"/>
            <w:lang w:val="en-US"/>
          </w:rPr>
          <w:tag w:val="MENDELEY_CITATION_v3_eyJjaXRhdGlvbklEIjoiTUVOREVMRVlfQ0lUQVRJT05"/>
          <w:id w:val="-1016687190"/>
          <w:placeholder>
            <w:docPart w:val="78247B30EEAD4B578B491DD3B22C1B12"/>
          </w:placeholder>
        </w:sdtPr>
        <w:sdtContent>
          <w:r w:rsidRPr="000C52D0">
            <w:rPr>
              <w:color w:val="000000"/>
              <w:sz w:val="20"/>
              <w:szCs w:val="20"/>
              <w:lang w:val="en-US"/>
            </w:rPr>
            <w:t>[27]</w:t>
          </w:r>
        </w:sdtContent>
      </w:sdt>
      <w:r w:rsidRPr="000C52D0">
        <w:rPr>
          <w:sz w:val="20"/>
          <w:szCs w:val="20"/>
        </w:rPr>
        <w:t>.</w:t>
      </w:r>
    </w:p>
    <w:p w:rsidR="00BE5093" w:rsidRPr="000C52D0" w:rsidRDefault="000C52D0" w:rsidP="000C52D0">
      <w:pPr>
        <w:pStyle w:val="JSKReferenceItem"/>
        <w:rPr>
          <w:sz w:val="20"/>
          <w:szCs w:val="20"/>
        </w:rPr>
      </w:pPr>
      <w:r w:rsidRPr="000C52D0">
        <w:rPr>
          <w:sz w:val="20"/>
          <w:szCs w:val="20"/>
          <w:lang w:val="en-US"/>
        </w:rPr>
        <w:t>T</w:t>
      </w:r>
      <w:r w:rsidRPr="000C52D0">
        <w:rPr>
          <w:sz w:val="20"/>
          <w:szCs w:val="20"/>
        </w:rPr>
        <w:t>eknik analisis data pada penelitian ini diuji menggunakan analisis regresi berganda yang meliputi uji simultan dan uji parsial</w:t>
      </w:r>
      <w:r w:rsidRPr="000C52D0">
        <w:rPr>
          <w:sz w:val="20"/>
          <w:szCs w:val="20"/>
          <w:lang w:val="en-US"/>
        </w:rPr>
        <w:t xml:space="preserve"> </w:t>
      </w:r>
      <w:sdt>
        <w:sdtPr>
          <w:rPr>
            <w:color w:val="000000"/>
            <w:sz w:val="20"/>
            <w:szCs w:val="20"/>
            <w:lang w:val="en-US"/>
          </w:rPr>
          <w:tag w:val="MENDELEY_CITATION_v3_eyJjaXRhdGlvbklEIjoiTUVOREVMRVlfQ0lUQVRJT05"/>
          <w:id w:val="-1191293240"/>
          <w:placeholder>
            <w:docPart w:val="78247B30EEAD4B578B491DD3B22C1B12"/>
          </w:placeholder>
        </w:sdtPr>
        <w:sdtContent>
          <w:r w:rsidRPr="000C52D0">
            <w:rPr>
              <w:color w:val="000000"/>
              <w:sz w:val="20"/>
              <w:szCs w:val="20"/>
            </w:rPr>
            <w:t>[28]</w:t>
          </w:r>
        </w:sdtContent>
      </w:sdt>
      <w:r w:rsidRPr="000C52D0">
        <w:rPr>
          <w:sz w:val="20"/>
          <w:szCs w:val="20"/>
        </w:rPr>
        <w:t>. Teknik analisis data tersebut menggunakan bantuan program JASP 0.14.1.0 dan SPSS versi 25.</w:t>
      </w:r>
      <w:r w:rsidR="0009570F" w:rsidRPr="000C52D0">
        <w:rPr>
          <w:color w:val="000000"/>
          <w:sz w:val="20"/>
          <w:szCs w:val="20"/>
        </w:rPr>
        <w:t>.</w:t>
      </w:r>
    </w:p>
    <w:p w:rsidR="00BE5093" w:rsidRDefault="0009570F">
      <w:pPr>
        <w:pStyle w:val="Heading1"/>
        <w:numPr>
          <w:ilvl w:val="0"/>
          <w:numId w:val="3"/>
        </w:numPr>
        <w:tabs>
          <w:tab w:val="left" w:pos="0"/>
        </w:tabs>
        <w:rPr>
          <w:sz w:val="24"/>
          <w:szCs w:val="24"/>
        </w:rPr>
      </w:pPr>
      <w:r>
        <w:rPr>
          <w:sz w:val="24"/>
          <w:szCs w:val="24"/>
        </w:rPr>
        <w:t>III. Hasil dan Pembahasan</w:t>
      </w:r>
    </w:p>
    <w:p w:rsidR="00BE5093" w:rsidRDefault="000C52D0">
      <w:pPr>
        <w:numPr>
          <w:ilvl w:val="0"/>
          <w:numId w:val="2"/>
        </w:numPr>
        <w:pBdr>
          <w:top w:val="nil"/>
          <w:left w:val="nil"/>
          <w:bottom w:val="nil"/>
          <w:right w:val="nil"/>
          <w:between w:val="nil"/>
        </w:pBdr>
        <w:ind w:left="426"/>
        <w:rPr>
          <w:b/>
          <w:color w:val="000000"/>
          <w:sz w:val="20"/>
          <w:szCs w:val="20"/>
        </w:rPr>
      </w:pPr>
      <w:r>
        <w:rPr>
          <w:b/>
          <w:color w:val="000000"/>
          <w:sz w:val="20"/>
          <w:szCs w:val="20"/>
        </w:rPr>
        <w:t>Deskriptif Data Penelitian</w:t>
      </w:r>
    </w:p>
    <w:p w:rsidR="000C52D0" w:rsidRDefault="000C52D0" w:rsidP="000C52D0">
      <w:pPr>
        <w:pStyle w:val="ListParagraph"/>
        <w:jc w:val="both"/>
        <w:rPr>
          <w:sz w:val="20"/>
          <w:szCs w:val="20"/>
        </w:rPr>
      </w:pPr>
      <w:r>
        <w:rPr>
          <w:sz w:val="20"/>
          <w:szCs w:val="20"/>
          <w:lang w:val="en-ID"/>
        </w:rPr>
        <w:t>Analisis deskriptif data penelitian dilakukan dengan tujuan untuk memahami secara umum tanggapan dari sampel penelitian terhadap variabel yang diteliti pada religiusutas, dukungan sosial, dan kecemasan menghadapi kematian yang diperoleh di lapanga</w:t>
      </w:r>
      <w:r>
        <w:rPr>
          <w:sz w:val="20"/>
          <w:szCs w:val="20"/>
        </w:rPr>
        <w:t>n.</w:t>
      </w:r>
    </w:p>
    <w:p w:rsidR="00BE5093" w:rsidRDefault="00BE5093">
      <w:pPr>
        <w:pBdr>
          <w:top w:val="nil"/>
          <w:left w:val="nil"/>
          <w:bottom w:val="nil"/>
          <w:right w:val="nil"/>
          <w:between w:val="nil"/>
        </w:pBdr>
        <w:ind w:firstLine="288"/>
        <w:jc w:val="both"/>
        <w:rPr>
          <w:color w:val="000000"/>
          <w:sz w:val="20"/>
          <w:szCs w:val="20"/>
        </w:rPr>
      </w:pPr>
    </w:p>
    <w:p w:rsidR="00C464C0" w:rsidRDefault="00C464C0">
      <w:pPr>
        <w:pBdr>
          <w:top w:val="nil"/>
          <w:left w:val="nil"/>
          <w:bottom w:val="nil"/>
          <w:right w:val="nil"/>
          <w:between w:val="nil"/>
        </w:pBdr>
        <w:ind w:firstLine="288"/>
        <w:jc w:val="both"/>
        <w:rPr>
          <w:color w:val="000000"/>
          <w:sz w:val="20"/>
          <w:szCs w:val="20"/>
        </w:rPr>
      </w:pPr>
    </w:p>
    <w:p w:rsidR="00C464C0" w:rsidRDefault="00C464C0">
      <w:pPr>
        <w:pBdr>
          <w:top w:val="nil"/>
          <w:left w:val="nil"/>
          <w:bottom w:val="nil"/>
          <w:right w:val="nil"/>
          <w:between w:val="nil"/>
        </w:pBdr>
        <w:ind w:firstLine="288"/>
        <w:jc w:val="both"/>
        <w:rPr>
          <w:color w:val="000000"/>
          <w:sz w:val="20"/>
          <w:szCs w:val="20"/>
        </w:rPr>
      </w:pPr>
    </w:p>
    <w:p w:rsidR="00C464C0" w:rsidRDefault="00C464C0">
      <w:pPr>
        <w:pBdr>
          <w:top w:val="nil"/>
          <w:left w:val="nil"/>
          <w:bottom w:val="nil"/>
          <w:right w:val="nil"/>
          <w:between w:val="nil"/>
        </w:pBdr>
        <w:ind w:firstLine="288"/>
        <w:jc w:val="both"/>
        <w:rPr>
          <w:color w:val="000000"/>
          <w:sz w:val="20"/>
          <w:szCs w:val="20"/>
        </w:rPr>
      </w:pPr>
    </w:p>
    <w:p w:rsidR="00C464C0" w:rsidRDefault="00C464C0">
      <w:pPr>
        <w:pBdr>
          <w:top w:val="nil"/>
          <w:left w:val="nil"/>
          <w:bottom w:val="nil"/>
          <w:right w:val="nil"/>
          <w:between w:val="nil"/>
        </w:pBdr>
        <w:ind w:firstLine="288"/>
        <w:jc w:val="both"/>
        <w:rPr>
          <w:color w:val="000000"/>
          <w:sz w:val="20"/>
          <w:szCs w:val="20"/>
        </w:rPr>
      </w:pPr>
    </w:p>
    <w:p w:rsidR="00C464C0" w:rsidRDefault="00C464C0">
      <w:pPr>
        <w:pBdr>
          <w:top w:val="nil"/>
          <w:left w:val="nil"/>
          <w:bottom w:val="nil"/>
          <w:right w:val="nil"/>
          <w:between w:val="nil"/>
        </w:pBdr>
        <w:ind w:firstLine="288"/>
        <w:jc w:val="both"/>
        <w:rPr>
          <w:color w:val="000000"/>
          <w:sz w:val="20"/>
          <w:szCs w:val="20"/>
        </w:rPr>
      </w:pPr>
    </w:p>
    <w:p w:rsidR="00C464C0" w:rsidRDefault="00C464C0">
      <w:pPr>
        <w:pBdr>
          <w:top w:val="nil"/>
          <w:left w:val="nil"/>
          <w:bottom w:val="nil"/>
          <w:right w:val="nil"/>
          <w:between w:val="nil"/>
        </w:pBdr>
        <w:ind w:firstLine="288"/>
        <w:jc w:val="both"/>
        <w:rPr>
          <w:color w:val="000000"/>
          <w:sz w:val="20"/>
          <w:szCs w:val="20"/>
        </w:rPr>
      </w:pPr>
    </w:p>
    <w:p w:rsidR="00C464C0" w:rsidRDefault="00C464C0">
      <w:pPr>
        <w:pBdr>
          <w:top w:val="nil"/>
          <w:left w:val="nil"/>
          <w:bottom w:val="nil"/>
          <w:right w:val="nil"/>
          <w:between w:val="nil"/>
        </w:pBdr>
        <w:ind w:firstLine="288"/>
        <w:jc w:val="both"/>
        <w:rPr>
          <w:color w:val="000000"/>
          <w:sz w:val="20"/>
          <w:szCs w:val="20"/>
        </w:rPr>
      </w:pPr>
    </w:p>
    <w:tbl>
      <w:tblPr>
        <w:tblW w:w="0" w:type="auto"/>
        <w:tblInd w:w="2578" w:type="dxa"/>
        <w:tblLook w:val="04A0"/>
      </w:tblPr>
      <w:tblGrid>
        <w:gridCol w:w="1417"/>
        <w:gridCol w:w="36"/>
        <w:gridCol w:w="1258"/>
        <w:gridCol w:w="66"/>
        <w:gridCol w:w="1157"/>
        <w:gridCol w:w="60"/>
        <w:gridCol w:w="1056"/>
        <w:gridCol w:w="55"/>
      </w:tblGrid>
      <w:tr w:rsidR="000C52D0" w:rsidTr="000C52D0">
        <w:trPr>
          <w:tblHeader/>
        </w:trPr>
        <w:tc>
          <w:tcPr>
            <w:tcW w:w="0" w:type="auto"/>
            <w:gridSpan w:val="8"/>
            <w:tcBorders>
              <w:top w:val="nil"/>
              <w:left w:val="nil"/>
              <w:bottom w:val="single" w:sz="6" w:space="0" w:color="000000"/>
              <w:right w:val="nil"/>
            </w:tcBorders>
            <w:tcMar>
              <w:top w:w="15" w:type="dxa"/>
              <w:left w:w="15" w:type="dxa"/>
              <w:bottom w:w="15" w:type="dxa"/>
              <w:right w:w="15" w:type="dxa"/>
            </w:tcMar>
            <w:vAlign w:val="center"/>
            <w:hideMark/>
          </w:tcPr>
          <w:p w:rsidR="000C52D0" w:rsidRDefault="000C52D0">
            <w:pPr>
              <w:suppressAutoHyphens w:val="0"/>
              <w:rPr>
                <w:b/>
                <w:bCs/>
                <w:lang w:val="en-ID" w:eastAsia="en-ID"/>
              </w:rPr>
            </w:pPr>
            <w:r>
              <w:rPr>
                <w:b/>
                <w:bCs/>
                <w:lang w:val="en-ID" w:eastAsia="en-ID"/>
              </w:rPr>
              <w:lastRenderedPageBreak/>
              <w:t xml:space="preserve">Descriptive Statistics </w:t>
            </w:r>
          </w:p>
        </w:tc>
      </w:tr>
      <w:tr w:rsidR="000C52D0" w:rsidTr="000C52D0">
        <w:trPr>
          <w:tblHeader/>
        </w:trPr>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0C52D0" w:rsidRDefault="000C52D0">
            <w:pPr>
              <w:suppressAutoHyphens w:val="0"/>
              <w:jc w:val="center"/>
              <w:rPr>
                <w:b/>
                <w:bCs/>
                <w:lang w:val="en-ID" w:eastAsia="en-ID"/>
              </w:rPr>
            </w:pPr>
            <w:r>
              <w:rPr>
                <w:b/>
                <w:bCs/>
                <w:lang w:val="en-ID" w:eastAsia="en-ID"/>
              </w:rPr>
              <w:t> </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0C52D0" w:rsidRDefault="000C52D0">
            <w:pPr>
              <w:suppressAutoHyphens w:val="0"/>
              <w:jc w:val="center"/>
              <w:rPr>
                <w:b/>
                <w:bCs/>
                <w:lang w:val="en-ID" w:eastAsia="en-ID"/>
              </w:rPr>
            </w:pPr>
            <w:r>
              <w:rPr>
                <w:b/>
                <w:bCs/>
                <w:lang w:val="en-ID" w:eastAsia="en-ID"/>
              </w:rPr>
              <w:t>Kecemasan</w:t>
            </w:r>
          </w:p>
          <w:p w:rsidR="000C52D0" w:rsidRDefault="000C52D0">
            <w:pPr>
              <w:suppressAutoHyphens w:val="0"/>
              <w:jc w:val="center"/>
              <w:rPr>
                <w:b/>
                <w:bCs/>
                <w:lang w:val="en-ID" w:eastAsia="en-ID"/>
              </w:rPr>
            </w:pPr>
            <w:r>
              <w:rPr>
                <w:b/>
                <w:bCs/>
                <w:lang w:val="en-ID" w:eastAsia="en-ID"/>
              </w:rPr>
              <w:t>Menghadapi</w:t>
            </w:r>
          </w:p>
          <w:p w:rsidR="000C52D0" w:rsidRDefault="000C52D0">
            <w:pPr>
              <w:suppressAutoHyphens w:val="0"/>
              <w:jc w:val="center"/>
              <w:rPr>
                <w:b/>
                <w:bCs/>
                <w:lang w:val="en-ID" w:eastAsia="en-ID"/>
              </w:rPr>
            </w:pPr>
            <w:r>
              <w:rPr>
                <w:b/>
                <w:bCs/>
                <w:lang w:val="en-ID" w:eastAsia="en-ID"/>
              </w:rPr>
              <w:t>Kematian</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0C52D0" w:rsidRDefault="000C52D0">
            <w:pPr>
              <w:suppressAutoHyphens w:val="0"/>
              <w:jc w:val="center"/>
              <w:rPr>
                <w:b/>
                <w:bCs/>
                <w:lang w:val="en-ID" w:eastAsia="en-ID"/>
              </w:rPr>
            </w:pPr>
            <w:r>
              <w:rPr>
                <w:b/>
                <w:bCs/>
                <w:lang w:val="en-ID" w:eastAsia="en-ID"/>
              </w:rPr>
              <w:t>Religiusitas</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0C52D0" w:rsidRDefault="000C52D0">
            <w:pPr>
              <w:suppressAutoHyphens w:val="0"/>
              <w:jc w:val="center"/>
              <w:rPr>
                <w:b/>
                <w:bCs/>
                <w:lang w:val="en-ID" w:eastAsia="en-ID"/>
              </w:rPr>
            </w:pPr>
            <w:r>
              <w:rPr>
                <w:b/>
                <w:bCs/>
                <w:lang w:val="en-ID" w:eastAsia="en-ID"/>
              </w:rPr>
              <w:t>Dukungan</w:t>
            </w:r>
          </w:p>
          <w:p w:rsidR="000C52D0" w:rsidRDefault="000C52D0">
            <w:pPr>
              <w:suppressAutoHyphens w:val="0"/>
              <w:jc w:val="center"/>
              <w:rPr>
                <w:b/>
                <w:bCs/>
                <w:lang w:val="en-ID" w:eastAsia="en-ID"/>
              </w:rPr>
            </w:pPr>
            <w:r>
              <w:rPr>
                <w:b/>
                <w:bCs/>
                <w:lang w:val="en-ID" w:eastAsia="en-ID"/>
              </w:rPr>
              <w:t>Sosial</w:t>
            </w:r>
          </w:p>
        </w:tc>
      </w:tr>
      <w:tr w:rsidR="000C52D0" w:rsidTr="000C52D0">
        <w:tc>
          <w:tcPr>
            <w:tcW w:w="0" w:type="auto"/>
            <w:tcMar>
              <w:top w:w="15" w:type="dxa"/>
              <w:left w:w="15" w:type="dxa"/>
              <w:bottom w:w="15" w:type="dxa"/>
              <w:right w:w="15" w:type="dxa"/>
            </w:tcMar>
            <w:vAlign w:val="center"/>
            <w:hideMark/>
          </w:tcPr>
          <w:p w:rsidR="000C52D0" w:rsidRDefault="000C52D0">
            <w:pPr>
              <w:suppressAutoHyphens w:val="0"/>
              <w:rPr>
                <w:lang w:val="en-ID" w:eastAsia="en-ID"/>
              </w:rPr>
            </w:pPr>
            <w:r>
              <w:rPr>
                <w:lang w:val="en-ID" w:eastAsia="en-ID"/>
              </w:rPr>
              <w:t>Valid</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0C52D0" w:rsidRDefault="000C52D0">
            <w:pPr>
              <w:suppressAutoHyphens w:val="0"/>
              <w:jc w:val="right"/>
              <w:rPr>
                <w:lang w:val="en-ID" w:eastAsia="en-ID"/>
              </w:rPr>
            </w:pPr>
            <w:r>
              <w:rPr>
                <w:lang w:val="en-ID" w:eastAsia="en-ID"/>
              </w:rPr>
              <w:t>100</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0C52D0" w:rsidRDefault="000C52D0">
            <w:pPr>
              <w:suppressAutoHyphens w:val="0"/>
              <w:jc w:val="right"/>
              <w:rPr>
                <w:lang w:val="en-ID" w:eastAsia="en-ID"/>
              </w:rPr>
            </w:pPr>
            <w:r>
              <w:rPr>
                <w:lang w:val="en-ID" w:eastAsia="en-ID"/>
              </w:rPr>
              <w:t>100</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0C52D0" w:rsidRDefault="000C52D0">
            <w:pPr>
              <w:suppressAutoHyphens w:val="0"/>
              <w:jc w:val="right"/>
              <w:rPr>
                <w:lang w:val="en-ID" w:eastAsia="en-ID"/>
              </w:rPr>
            </w:pPr>
            <w:r>
              <w:rPr>
                <w:lang w:val="en-ID" w:eastAsia="en-ID"/>
              </w:rPr>
              <w:t>100</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r>
      <w:tr w:rsidR="000C52D0" w:rsidTr="000C52D0">
        <w:tc>
          <w:tcPr>
            <w:tcW w:w="0" w:type="auto"/>
            <w:tcMar>
              <w:top w:w="15" w:type="dxa"/>
              <w:left w:w="15" w:type="dxa"/>
              <w:bottom w:w="15" w:type="dxa"/>
              <w:right w:w="15" w:type="dxa"/>
            </w:tcMar>
            <w:vAlign w:val="center"/>
            <w:hideMark/>
          </w:tcPr>
          <w:p w:rsidR="000C52D0" w:rsidRDefault="000C52D0">
            <w:pPr>
              <w:suppressAutoHyphens w:val="0"/>
              <w:rPr>
                <w:lang w:val="en-ID" w:eastAsia="en-ID"/>
              </w:rPr>
            </w:pPr>
            <w:r>
              <w:rPr>
                <w:lang w:val="en-ID" w:eastAsia="en-ID"/>
              </w:rPr>
              <w:t>Missing</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0C52D0" w:rsidRDefault="000C52D0">
            <w:pPr>
              <w:suppressAutoHyphens w:val="0"/>
              <w:jc w:val="right"/>
              <w:rPr>
                <w:lang w:val="en-ID" w:eastAsia="en-ID"/>
              </w:rPr>
            </w:pPr>
            <w:r>
              <w:rPr>
                <w:lang w:val="en-ID" w:eastAsia="en-ID"/>
              </w:rPr>
              <w:t>0</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0C52D0" w:rsidRDefault="000C52D0">
            <w:pPr>
              <w:suppressAutoHyphens w:val="0"/>
              <w:jc w:val="right"/>
              <w:rPr>
                <w:lang w:val="en-ID" w:eastAsia="en-ID"/>
              </w:rPr>
            </w:pPr>
            <w:r>
              <w:rPr>
                <w:lang w:val="en-ID" w:eastAsia="en-ID"/>
              </w:rPr>
              <w:t>0</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0C52D0" w:rsidRDefault="000C52D0">
            <w:pPr>
              <w:suppressAutoHyphens w:val="0"/>
              <w:jc w:val="right"/>
              <w:rPr>
                <w:lang w:val="en-ID" w:eastAsia="en-ID"/>
              </w:rPr>
            </w:pPr>
            <w:r>
              <w:rPr>
                <w:lang w:val="en-ID" w:eastAsia="en-ID"/>
              </w:rPr>
              <w:t>0</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r>
      <w:tr w:rsidR="000C52D0" w:rsidTr="000C52D0">
        <w:tc>
          <w:tcPr>
            <w:tcW w:w="0" w:type="auto"/>
            <w:tcMar>
              <w:top w:w="15" w:type="dxa"/>
              <w:left w:w="15" w:type="dxa"/>
              <w:bottom w:w="15" w:type="dxa"/>
              <w:right w:w="15" w:type="dxa"/>
            </w:tcMar>
            <w:vAlign w:val="center"/>
            <w:hideMark/>
          </w:tcPr>
          <w:p w:rsidR="000C52D0" w:rsidRDefault="000C52D0">
            <w:pPr>
              <w:suppressAutoHyphens w:val="0"/>
              <w:rPr>
                <w:lang w:val="en-ID" w:eastAsia="en-ID"/>
              </w:rPr>
            </w:pPr>
            <w:r>
              <w:rPr>
                <w:lang w:val="en-ID" w:eastAsia="en-ID"/>
              </w:rPr>
              <w:t>Mean</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0C52D0" w:rsidRDefault="000C52D0">
            <w:pPr>
              <w:suppressAutoHyphens w:val="0"/>
              <w:jc w:val="right"/>
              <w:rPr>
                <w:lang w:val="en-ID" w:eastAsia="en-ID"/>
              </w:rPr>
            </w:pPr>
            <w:r>
              <w:rPr>
                <w:lang w:val="en-ID" w:eastAsia="en-ID"/>
              </w:rPr>
              <w:t>53.090</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0C52D0" w:rsidRDefault="000C52D0">
            <w:pPr>
              <w:suppressAutoHyphens w:val="0"/>
              <w:jc w:val="right"/>
              <w:rPr>
                <w:lang w:val="en-ID" w:eastAsia="en-ID"/>
              </w:rPr>
            </w:pPr>
            <w:r>
              <w:rPr>
                <w:lang w:val="en-ID" w:eastAsia="en-ID"/>
              </w:rPr>
              <w:t>75.160</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0C52D0" w:rsidRDefault="000C52D0">
            <w:pPr>
              <w:suppressAutoHyphens w:val="0"/>
              <w:jc w:val="right"/>
              <w:rPr>
                <w:lang w:val="en-ID" w:eastAsia="en-ID"/>
              </w:rPr>
            </w:pPr>
            <w:r>
              <w:rPr>
                <w:lang w:val="en-ID" w:eastAsia="en-ID"/>
              </w:rPr>
              <w:t>12.640</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r>
      <w:tr w:rsidR="000C52D0" w:rsidTr="000C52D0">
        <w:tc>
          <w:tcPr>
            <w:tcW w:w="0" w:type="auto"/>
            <w:tcMar>
              <w:top w:w="15" w:type="dxa"/>
              <w:left w:w="15" w:type="dxa"/>
              <w:bottom w:w="15" w:type="dxa"/>
              <w:right w:w="15" w:type="dxa"/>
            </w:tcMar>
            <w:vAlign w:val="center"/>
            <w:hideMark/>
          </w:tcPr>
          <w:p w:rsidR="000C52D0" w:rsidRDefault="000C52D0">
            <w:pPr>
              <w:suppressAutoHyphens w:val="0"/>
              <w:rPr>
                <w:lang w:val="en-ID" w:eastAsia="en-ID"/>
              </w:rPr>
            </w:pPr>
            <w:r>
              <w:rPr>
                <w:lang w:val="en-ID" w:eastAsia="en-ID"/>
              </w:rPr>
              <w:t>Std. Deviation</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0C52D0" w:rsidRDefault="000C52D0">
            <w:pPr>
              <w:suppressAutoHyphens w:val="0"/>
              <w:jc w:val="right"/>
              <w:rPr>
                <w:lang w:val="en-ID" w:eastAsia="en-ID"/>
              </w:rPr>
            </w:pPr>
            <w:r>
              <w:rPr>
                <w:lang w:val="en-ID" w:eastAsia="en-ID"/>
              </w:rPr>
              <w:t>4.839</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0C52D0" w:rsidRDefault="000C52D0">
            <w:pPr>
              <w:suppressAutoHyphens w:val="0"/>
              <w:jc w:val="right"/>
              <w:rPr>
                <w:lang w:val="en-ID" w:eastAsia="en-ID"/>
              </w:rPr>
            </w:pPr>
            <w:r>
              <w:rPr>
                <w:lang w:val="en-ID" w:eastAsia="en-ID"/>
              </w:rPr>
              <w:t>8.963</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0C52D0" w:rsidRDefault="000C52D0">
            <w:pPr>
              <w:suppressAutoHyphens w:val="0"/>
              <w:jc w:val="right"/>
              <w:rPr>
                <w:lang w:val="en-ID" w:eastAsia="en-ID"/>
              </w:rPr>
            </w:pPr>
            <w:r>
              <w:rPr>
                <w:lang w:val="en-ID" w:eastAsia="en-ID"/>
              </w:rPr>
              <w:t>1.059</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r>
      <w:tr w:rsidR="000C52D0" w:rsidTr="000C52D0">
        <w:tc>
          <w:tcPr>
            <w:tcW w:w="0" w:type="auto"/>
            <w:tcMar>
              <w:top w:w="15" w:type="dxa"/>
              <w:left w:w="15" w:type="dxa"/>
              <w:bottom w:w="15" w:type="dxa"/>
              <w:right w:w="15" w:type="dxa"/>
            </w:tcMar>
            <w:vAlign w:val="center"/>
            <w:hideMark/>
          </w:tcPr>
          <w:p w:rsidR="000C52D0" w:rsidRDefault="000C52D0">
            <w:pPr>
              <w:suppressAutoHyphens w:val="0"/>
              <w:rPr>
                <w:lang w:val="en-ID" w:eastAsia="en-ID"/>
              </w:rPr>
            </w:pPr>
            <w:r>
              <w:rPr>
                <w:lang w:val="en-ID" w:eastAsia="en-ID"/>
              </w:rPr>
              <w:t>Minimum</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0C52D0" w:rsidRDefault="000C52D0">
            <w:pPr>
              <w:suppressAutoHyphens w:val="0"/>
              <w:jc w:val="right"/>
              <w:rPr>
                <w:lang w:val="en-ID" w:eastAsia="en-ID"/>
              </w:rPr>
            </w:pPr>
            <w:r>
              <w:rPr>
                <w:lang w:val="en-ID" w:eastAsia="en-ID"/>
              </w:rPr>
              <w:t>43.000</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0C52D0" w:rsidRDefault="000C52D0">
            <w:pPr>
              <w:suppressAutoHyphens w:val="0"/>
              <w:jc w:val="right"/>
              <w:rPr>
                <w:lang w:val="en-ID" w:eastAsia="en-ID"/>
              </w:rPr>
            </w:pPr>
            <w:r>
              <w:rPr>
                <w:lang w:val="en-ID" w:eastAsia="en-ID"/>
              </w:rPr>
              <w:t>60.000</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0C52D0" w:rsidRDefault="000C52D0">
            <w:pPr>
              <w:suppressAutoHyphens w:val="0"/>
              <w:jc w:val="right"/>
              <w:rPr>
                <w:lang w:val="en-ID" w:eastAsia="en-ID"/>
              </w:rPr>
            </w:pPr>
            <w:r>
              <w:rPr>
                <w:lang w:val="en-ID" w:eastAsia="en-ID"/>
              </w:rPr>
              <w:t>12.000</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r>
      <w:tr w:rsidR="000C52D0" w:rsidTr="000C52D0">
        <w:tc>
          <w:tcPr>
            <w:tcW w:w="0" w:type="auto"/>
            <w:tcMar>
              <w:top w:w="15" w:type="dxa"/>
              <w:left w:w="15" w:type="dxa"/>
              <w:bottom w:w="15" w:type="dxa"/>
              <w:right w:w="15" w:type="dxa"/>
            </w:tcMar>
            <w:vAlign w:val="center"/>
            <w:hideMark/>
          </w:tcPr>
          <w:p w:rsidR="000C52D0" w:rsidRDefault="000C52D0">
            <w:pPr>
              <w:suppressAutoHyphens w:val="0"/>
              <w:rPr>
                <w:lang w:val="en-ID" w:eastAsia="en-ID"/>
              </w:rPr>
            </w:pPr>
            <w:r>
              <w:rPr>
                <w:lang w:val="en-ID" w:eastAsia="en-ID"/>
              </w:rPr>
              <w:t>Maximum</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0C52D0" w:rsidRDefault="000C52D0">
            <w:pPr>
              <w:suppressAutoHyphens w:val="0"/>
              <w:jc w:val="right"/>
              <w:rPr>
                <w:lang w:val="en-ID" w:eastAsia="en-ID"/>
              </w:rPr>
            </w:pPr>
            <w:r>
              <w:rPr>
                <w:lang w:val="en-ID" w:eastAsia="en-ID"/>
              </w:rPr>
              <w:t>60.000</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0C52D0" w:rsidRDefault="000C52D0">
            <w:pPr>
              <w:suppressAutoHyphens w:val="0"/>
              <w:jc w:val="right"/>
              <w:rPr>
                <w:lang w:val="en-ID" w:eastAsia="en-ID"/>
              </w:rPr>
            </w:pPr>
            <w:r>
              <w:rPr>
                <w:lang w:val="en-ID" w:eastAsia="en-ID"/>
              </w:rPr>
              <w:t>84.000</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0C52D0" w:rsidRDefault="000C52D0">
            <w:pPr>
              <w:suppressAutoHyphens w:val="0"/>
              <w:jc w:val="right"/>
              <w:rPr>
                <w:lang w:val="en-ID" w:eastAsia="en-ID"/>
              </w:rPr>
            </w:pPr>
            <w:r>
              <w:rPr>
                <w:lang w:val="en-ID" w:eastAsia="en-ID"/>
              </w:rPr>
              <w:t>18.000</w:t>
            </w:r>
          </w:p>
        </w:tc>
        <w:tc>
          <w:tcPr>
            <w:tcW w:w="0" w:type="auto"/>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r>
      <w:tr w:rsidR="000C52D0" w:rsidTr="000C52D0">
        <w:tc>
          <w:tcPr>
            <w:tcW w:w="0" w:type="auto"/>
            <w:gridSpan w:val="8"/>
            <w:tcBorders>
              <w:top w:val="nil"/>
              <w:left w:val="nil"/>
              <w:bottom w:val="single" w:sz="12" w:space="0" w:color="000000"/>
              <w:right w:val="nil"/>
            </w:tcBorders>
            <w:tcMar>
              <w:top w:w="15" w:type="dxa"/>
              <w:left w:w="15" w:type="dxa"/>
              <w:bottom w:w="15" w:type="dxa"/>
              <w:right w:w="15" w:type="dxa"/>
            </w:tcMar>
            <w:vAlign w:val="center"/>
            <w:hideMark/>
          </w:tcPr>
          <w:p w:rsidR="000C52D0" w:rsidRDefault="000C52D0">
            <w:pPr>
              <w:suppressAutoHyphens w:val="0"/>
              <w:rPr>
                <w:rFonts w:asciiTheme="minorHAnsi" w:eastAsiaTheme="minorEastAsia" w:hAnsiTheme="minorHAnsi" w:cstheme="minorBidi"/>
                <w:sz w:val="22"/>
                <w:szCs w:val="22"/>
                <w:lang w:eastAsia="id-ID"/>
              </w:rPr>
            </w:pPr>
          </w:p>
        </w:tc>
      </w:tr>
    </w:tbl>
    <w:p w:rsidR="000C52D0" w:rsidRDefault="000C52D0">
      <w:pPr>
        <w:pBdr>
          <w:top w:val="nil"/>
          <w:left w:val="nil"/>
          <w:bottom w:val="nil"/>
          <w:right w:val="nil"/>
          <w:between w:val="nil"/>
        </w:pBdr>
        <w:ind w:firstLine="288"/>
        <w:jc w:val="both"/>
        <w:rPr>
          <w:color w:val="000000"/>
          <w:sz w:val="20"/>
          <w:szCs w:val="20"/>
        </w:rPr>
      </w:pPr>
    </w:p>
    <w:p w:rsidR="000C52D0" w:rsidRDefault="000C52D0">
      <w:pPr>
        <w:pBdr>
          <w:top w:val="nil"/>
          <w:left w:val="nil"/>
          <w:bottom w:val="nil"/>
          <w:right w:val="nil"/>
          <w:between w:val="nil"/>
        </w:pBdr>
        <w:ind w:firstLine="288"/>
        <w:jc w:val="both"/>
        <w:rPr>
          <w:color w:val="000000"/>
          <w:sz w:val="20"/>
          <w:szCs w:val="20"/>
        </w:rPr>
      </w:pPr>
    </w:p>
    <w:p w:rsidR="000C52D0" w:rsidRDefault="000C52D0">
      <w:pPr>
        <w:pBdr>
          <w:top w:val="nil"/>
          <w:left w:val="nil"/>
          <w:bottom w:val="nil"/>
          <w:right w:val="nil"/>
          <w:between w:val="nil"/>
        </w:pBdr>
        <w:ind w:firstLine="288"/>
        <w:jc w:val="both"/>
        <w:rPr>
          <w:color w:val="000000"/>
          <w:sz w:val="20"/>
          <w:szCs w:val="20"/>
        </w:rPr>
      </w:pPr>
    </w:p>
    <w:p w:rsidR="001331F3" w:rsidRPr="001331F3" w:rsidRDefault="001331F3" w:rsidP="001331F3">
      <w:pPr>
        <w:pBdr>
          <w:top w:val="nil"/>
          <w:left w:val="nil"/>
          <w:bottom w:val="nil"/>
          <w:right w:val="nil"/>
          <w:between w:val="nil"/>
        </w:pBdr>
        <w:jc w:val="both"/>
        <w:rPr>
          <w:color w:val="000000"/>
          <w:sz w:val="20"/>
          <w:szCs w:val="20"/>
        </w:rPr>
      </w:pPr>
      <w:r w:rsidRPr="001331F3">
        <w:rPr>
          <w:color w:val="000000"/>
          <w:sz w:val="20"/>
          <w:szCs w:val="20"/>
        </w:rPr>
        <w:t>Uji Asumsi</w:t>
      </w:r>
    </w:p>
    <w:p w:rsidR="001331F3" w:rsidRPr="001331F3" w:rsidRDefault="001331F3" w:rsidP="001331F3">
      <w:pPr>
        <w:pBdr>
          <w:top w:val="nil"/>
          <w:left w:val="nil"/>
          <w:bottom w:val="nil"/>
          <w:right w:val="nil"/>
          <w:between w:val="nil"/>
        </w:pBdr>
        <w:jc w:val="both"/>
        <w:rPr>
          <w:color w:val="000000"/>
          <w:sz w:val="20"/>
          <w:szCs w:val="20"/>
        </w:rPr>
      </w:pPr>
      <w:r w:rsidRPr="001331F3">
        <w:rPr>
          <w:color w:val="000000"/>
          <w:sz w:val="20"/>
          <w:szCs w:val="20"/>
        </w:rPr>
        <w:t>Pemeriksaan asumsi dilakukan untuk menentukan apakah data yang diperoleh dalam hasil penelitian memenuhi standar analisis atau tidak. Dalam pemeriksaan asumsi, diperlukan uji normalitas, uji linieritas, uji multikolinearitas, dan uji heteroskedastisitas. Hasil dari setiap pemeriksaan asumsi tersebut juga dicantumkan sebagai berikut :</w:t>
      </w:r>
    </w:p>
    <w:p w:rsidR="001331F3" w:rsidRPr="001331F3" w:rsidRDefault="001331F3" w:rsidP="001331F3">
      <w:pPr>
        <w:pBdr>
          <w:top w:val="nil"/>
          <w:left w:val="nil"/>
          <w:bottom w:val="nil"/>
          <w:right w:val="nil"/>
          <w:between w:val="nil"/>
        </w:pBdr>
        <w:jc w:val="both"/>
        <w:rPr>
          <w:color w:val="000000"/>
          <w:sz w:val="20"/>
          <w:szCs w:val="20"/>
        </w:rPr>
      </w:pPr>
    </w:p>
    <w:p w:rsidR="001331F3" w:rsidRPr="001331F3" w:rsidRDefault="001331F3" w:rsidP="001331F3">
      <w:pPr>
        <w:pBdr>
          <w:top w:val="nil"/>
          <w:left w:val="nil"/>
          <w:bottom w:val="nil"/>
          <w:right w:val="nil"/>
          <w:between w:val="nil"/>
        </w:pBdr>
        <w:jc w:val="both"/>
        <w:rPr>
          <w:color w:val="000000"/>
          <w:sz w:val="20"/>
          <w:szCs w:val="20"/>
        </w:rPr>
      </w:pPr>
      <w:r w:rsidRPr="001331F3">
        <w:rPr>
          <w:color w:val="000000"/>
          <w:sz w:val="20"/>
          <w:szCs w:val="20"/>
        </w:rPr>
        <w:t>a. Uji Normalitas</w:t>
      </w:r>
    </w:p>
    <w:p w:rsidR="000C52D0" w:rsidRDefault="001331F3" w:rsidP="001331F3">
      <w:pPr>
        <w:pBdr>
          <w:top w:val="nil"/>
          <w:left w:val="nil"/>
          <w:bottom w:val="nil"/>
          <w:right w:val="nil"/>
          <w:between w:val="nil"/>
        </w:pBdr>
        <w:jc w:val="both"/>
        <w:rPr>
          <w:color w:val="000000"/>
          <w:sz w:val="20"/>
          <w:szCs w:val="20"/>
        </w:rPr>
      </w:pPr>
      <w:r w:rsidRPr="001331F3">
        <w:rPr>
          <w:color w:val="000000"/>
          <w:sz w:val="20"/>
          <w:szCs w:val="20"/>
        </w:rPr>
        <w:t>Uji normalitas dalam suatu studi bertujuan untuk mengevaluasi apakah data yang dikumpulkan memiliki distribusi normal dan untuk menentukan apakah sampel yang digunakan sudah mencerminkan populasi dengan baik. Tabel ringkasan dari hasil uji distribusi data penelitian ditampilkan di bawah ini, sedangkan grafik hasil uji normalitas variabel sebagai berikut :</w:t>
      </w:r>
    </w:p>
    <w:p w:rsidR="001331F3" w:rsidRDefault="001331F3" w:rsidP="001331F3">
      <w:pPr>
        <w:pBdr>
          <w:top w:val="nil"/>
          <w:left w:val="nil"/>
          <w:bottom w:val="nil"/>
          <w:right w:val="nil"/>
          <w:between w:val="nil"/>
        </w:pBdr>
        <w:jc w:val="both"/>
        <w:rPr>
          <w:color w:val="000000"/>
          <w:sz w:val="20"/>
          <w:szCs w:val="20"/>
        </w:rPr>
      </w:pPr>
    </w:p>
    <w:p w:rsidR="001331F3" w:rsidRDefault="001331F3" w:rsidP="001331F3">
      <w:pPr>
        <w:pBdr>
          <w:top w:val="nil"/>
          <w:left w:val="nil"/>
          <w:bottom w:val="nil"/>
          <w:right w:val="nil"/>
          <w:between w:val="nil"/>
        </w:pBdr>
        <w:jc w:val="both"/>
        <w:rPr>
          <w:color w:val="000000"/>
          <w:sz w:val="20"/>
          <w:szCs w:val="20"/>
        </w:rPr>
      </w:pPr>
    </w:p>
    <w:p w:rsidR="001331F3" w:rsidRDefault="001331F3" w:rsidP="001331F3">
      <w:pPr>
        <w:pBdr>
          <w:top w:val="nil"/>
          <w:left w:val="nil"/>
          <w:bottom w:val="nil"/>
          <w:right w:val="nil"/>
          <w:between w:val="nil"/>
        </w:pBdr>
        <w:jc w:val="both"/>
        <w:rPr>
          <w:color w:val="000000"/>
          <w:sz w:val="20"/>
          <w:szCs w:val="20"/>
        </w:rPr>
      </w:pPr>
      <w:r w:rsidRPr="001331F3">
        <w:rPr>
          <w:noProof/>
          <w:color w:val="000000"/>
          <w:sz w:val="20"/>
          <w:szCs w:val="20"/>
          <w:lang w:eastAsia="id-ID"/>
        </w:rPr>
        <w:drawing>
          <wp:inline distT="0" distB="0" distL="0" distR="0">
            <wp:extent cx="3097662" cy="2339439"/>
            <wp:effectExtent l="19050" t="0" r="7488" b="0"/>
            <wp:docPr id="1" name="Picture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xmlns:lc="http://schemas.openxmlformats.org/drawingml/2006/lockedCanvas" val="0"/>
                        </a:ext>
                      </a:extLst>
                    </a:blip>
                    <a:srcRect/>
                    <a:stretch>
                      <a:fillRect/>
                    </a:stretch>
                  </pic:blipFill>
                  <pic:spPr bwMode="auto">
                    <a:xfrm>
                      <a:off x="0" y="0"/>
                      <a:ext cx="3097662" cy="2339439"/>
                    </a:xfrm>
                    <a:prstGeom prst="rect">
                      <a:avLst/>
                    </a:prstGeom>
                    <a:noFill/>
                    <a:ln>
                      <a:noFill/>
                    </a:ln>
                  </pic:spPr>
                </pic:pic>
              </a:graphicData>
            </a:graphic>
          </wp:inline>
        </w:drawing>
      </w:r>
    </w:p>
    <w:p w:rsidR="001331F3" w:rsidRDefault="001331F3" w:rsidP="001331F3">
      <w:pPr>
        <w:pBdr>
          <w:top w:val="nil"/>
          <w:left w:val="nil"/>
          <w:bottom w:val="nil"/>
          <w:right w:val="nil"/>
          <w:between w:val="nil"/>
        </w:pBdr>
        <w:jc w:val="both"/>
        <w:rPr>
          <w:color w:val="000000"/>
          <w:sz w:val="20"/>
          <w:szCs w:val="20"/>
        </w:rPr>
      </w:pPr>
    </w:p>
    <w:p w:rsidR="001331F3" w:rsidRPr="001331F3" w:rsidRDefault="001331F3" w:rsidP="001331F3">
      <w:pPr>
        <w:pBdr>
          <w:top w:val="nil"/>
          <w:left w:val="nil"/>
          <w:bottom w:val="nil"/>
          <w:right w:val="nil"/>
          <w:between w:val="nil"/>
        </w:pBdr>
        <w:jc w:val="both"/>
        <w:rPr>
          <w:color w:val="000000"/>
          <w:sz w:val="20"/>
          <w:szCs w:val="20"/>
        </w:rPr>
      </w:pPr>
      <w:r w:rsidRPr="001331F3">
        <w:rPr>
          <w:color w:val="000000"/>
          <w:sz w:val="20"/>
          <w:szCs w:val="20"/>
        </w:rPr>
        <w:t>Menurut gambaran yang ditunjukkan dalam grafik uji normalitas di atas, diamati dari pola yang membentuk piramida sempurna serta adanya pola garis lurus yang terlihat dalam  table. Artinya data tersebut menunjukan normal.</w:t>
      </w:r>
    </w:p>
    <w:p w:rsidR="001331F3" w:rsidRPr="001331F3" w:rsidRDefault="001331F3" w:rsidP="001331F3">
      <w:pPr>
        <w:pBdr>
          <w:top w:val="nil"/>
          <w:left w:val="nil"/>
          <w:bottom w:val="nil"/>
          <w:right w:val="nil"/>
          <w:between w:val="nil"/>
        </w:pBdr>
        <w:jc w:val="both"/>
        <w:rPr>
          <w:color w:val="000000"/>
          <w:sz w:val="20"/>
          <w:szCs w:val="20"/>
        </w:rPr>
      </w:pPr>
    </w:p>
    <w:p w:rsidR="001331F3" w:rsidRPr="001331F3" w:rsidRDefault="001331F3" w:rsidP="001331F3">
      <w:pPr>
        <w:pBdr>
          <w:top w:val="nil"/>
          <w:left w:val="nil"/>
          <w:bottom w:val="nil"/>
          <w:right w:val="nil"/>
          <w:between w:val="nil"/>
        </w:pBdr>
        <w:jc w:val="both"/>
        <w:rPr>
          <w:color w:val="000000"/>
          <w:sz w:val="20"/>
          <w:szCs w:val="20"/>
        </w:rPr>
      </w:pPr>
      <w:r w:rsidRPr="001331F3">
        <w:rPr>
          <w:color w:val="000000"/>
          <w:sz w:val="20"/>
          <w:szCs w:val="20"/>
        </w:rPr>
        <w:t>b. Uji Linieritas</w:t>
      </w:r>
    </w:p>
    <w:p w:rsidR="001331F3" w:rsidRDefault="001331F3" w:rsidP="001331F3">
      <w:pPr>
        <w:pBdr>
          <w:top w:val="nil"/>
          <w:left w:val="nil"/>
          <w:bottom w:val="nil"/>
          <w:right w:val="nil"/>
          <w:between w:val="nil"/>
        </w:pBdr>
        <w:jc w:val="both"/>
        <w:rPr>
          <w:color w:val="000000"/>
          <w:sz w:val="20"/>
          <w:szCs w:val="20"/>
        </w:rPr>
      </w:pPr>
      <w:r w:rsidRPr="001331F3">
        <w:rPr>
          <w:color w:val="000000"/>
          <w:sz w:val="20"/>
          <w:szCs w:val="20"/>
        </w:rPr>
        <w:t>Uji linearitas dilakukan dalam penelitian ini untuk menentukan apakah ada hubungan signifikan antara variabel dependen dan variabel independen, dengan tingkat signifikansi p-value lebih besar dari 0,05.</w:t>
      </w:r>
    </w:p>
    <w:p w:rsidR="001331F3" w:rsidRDefault="001331F3" w:rsidP="001331F3">
      <w:pPr>
        <w:pBdr>
          <w:top w:val="nil"/>
          <w:left w:val="nil"/>
          <w:bottom w:val="nil"/>
          <w:right w:val="nil"/>
          <w:between w:val="nil"/>
        </w:pBdr>
        <w:jc w:val="both"/>
        <w:rPr>
          <w:color w:val="000000"/>
          <w:sz w:val="20"/>
          <w:szCs w:val="20"/>
        </w:rPr>
      </w:pPr>
    </w:p>
    <w:p w:rsidR="00C464C0" w:rsidRDefault="00C464C0" w:rsidP="001331F3">
      <w:pPr>
        <w:ind w:right="-10"/>
        <w:jc w:val="both"/>
        <w:rPr>
          <w:b/>
          <w:bCs/>
          <w:sz w:val="20"/>
          <w:szCs w:val="20"/>
        </w:rPr>
      </w:pPr>
    </w:p>
    <w:p w:rsidR="00C464C0" w:rsidRDefault="00C464C0" w:rsidP="001331F3">
      <w:pPr>
        <w:ind w:right="-10"/>
        <w:jc w:val="both"/>
        <w:rPr>
          <w:b/>
          <w:bCs/>
          <w:sz w:val="20"/>
          <w:szCs w:val="20"/>
        </w:rPr>
      </w:pPr>
    </w:p>
    <w:p w:rsidR="00C464C0" w:rsidRDefault="00C464C0" w:rsidP="001331F3">
      <w:pPr>
        <w:ind w:right="-10"/>
        <w:jc w:val="both"/>
        <w:rPr>
          <w:b/>
          <w:bCs/>
          <w:sz w:val="20"/>
          <w:szCs w:val="20"/>
        </w:rPr>
      </w:pPr>
    </w:p>
    <w:p w:rsidR="00C464C0" w:rsidRDefault="00C464C0" w:rsidP="001331F3">
      <w:pPr>
        <w:ind w:right="-10"/>
        <w:jc w:val="both"/>
        <w:rPr>
          <w:b/>
          <w:bCs/>
          <w:sz w:val="20"/>
          <w:szCs w:val="20"/>
        </w:rPr>
      </w:pPr>
    </w:p>
    <w:p w:rsidR="00C464C0" w:rsidRDefault="00C464C0" w:rsidP="001331F3">
      <w:pPr>
        <w:ind w:right="-10"/>
        <w:jc w:val="both"/>
        <w:rPr>
          <w:b/>
          <w:bCs/>
          <w:sz w:val="20"/>
          <w:szCs w:val="20"/>
        </w:rPr>
      </w:pPr>
    </w:p>
    <w:p w:rsidR="001331F3" w:rsidRDefault="001331F3" w:rsidP="001331F3">
      <w:pPr>
        <w:ind w:right="-10"/>
        <w:jc w:val="both"/>
        <w:rPr>
          <w:b/>
          <w:bCs/>
          <w:sz w:val="20"/>
          <w:szCs w:val="20"/>
        </w:rPr>
      </w:pPr>
      <w:r>
        <w:rPr>
          <w:b/>
          <w:bCs/>
          <w:sz w:val="20"/>
          <w:szCs w:val="20"/>
        </w:rPr>
        <w:lastRenderedPageBreak/>
        <w:t>Tabel 3. Hasil Uji Linieritas</w:t>
      </w:r>
    </w:p>
    <w:p w:rsidR="001331F3" w:rsidRDefault="001331F3" w:rsidP="001331F3">
      <w:pPr>
        <w:ind w:right="-10"/>
        <w:jc w:val="center"/>
        <w:rPr>
          <w:b/>
          <w:bCs/>
        </w:rPr>
      </w:pPr>
      <w:r>
        <w:rPr>
          <w:rFonts w:eastAsiaTheme="minorEastAsia"/>
          <w:b/>
          <w:bCs/>
          <w:color w:val="010205"/>
        </w:rPr>
        <w:t>ANOVA Table</w:t>
      </w:r>
    </w:p>
    <w:tbl>
      <w:tblPr>
        <w:tblStyle w:val="TableGrid"/>
        <w:tblW w:w="10305" w:type="dxa"/>
        <w:tblBorders>
          <w:left w:val="none" w:sz="0" w:space="0" w:color="auto"/>
          <w:bottom w:val="none" w:sz="0" w:space="0" w:color="auto"/>
          <w:right w:val="none" w:sz="0" w:space="0" w:color="auto"/>
          <w:insideH w:val="none" w:sz="0" w:space="0" w:color="auto"/>
          <w:insideV w:val="none" w:sz="0" w:space="0" w:color="auto"/>
        </w:tblBorders>
        <w:tblLayout w:type="fixed"/>
        <w:tblLook w:val="07E0"/>
      </w:tblPr>
      <w:tblGrid>
        <w:gridCol w:w="1667"/>
        <w:gridCol w:w="1558"/>
        <w:gridCol w:w="1276"/>
        <w:gridCol w:w="1392"/>
        <w:gridCol w:w="1471"/>
        <w:gridCol w:w="1471"/>
        <w:gridCol w:w="1470"/>
      </w:tblGrid>
      <w:tr w:rsidR="001331F3" w:rsidTr="00C464C0">
        <w:tc>
          <w:tcPr>
            <w:tcW w:w="1668" w:type="dxa"/>
            <w:tcBorders>
              <w:top w:val="single" w:sz="4" w:space="0" w:color="auto"/>
              <w:bottom w:val="single" w:sz="4" w:space="0" w:color="auto"/>
            </w:tcBorders>
          </w:tcPr>
          <w:p w:rsidR="001331F3" w:rsidRDefault="001331F3">
            <w:pPr>
              <w:autoSpaceDE w:val="0"/>
              <w:autoSpaceDN w:val="0"/>
              <w:adjustRightInd w:val="0"/>
              <w:rPr>
                <w:rFonts w:ascii="Times New Roman" w:hAnsi="Times New Roman" w:cs="Times New Roman"/>
                <w:sz w:val="20"/>
                <w:szCs w:val="20"/>
              </w:rPr>
            </w:pPr>
          </w:p>
        </w:tc>
        <w:tc>
          <w:tcPr>
            <w:tcW w:w="1559" w:type="dxa"/>
            <w:tcBorders>
              <w:top w:val="single" w:sz="4" w:space="0" w:color="auto"/>
              <w:bottom w:val="single" w:sz="4" w:space="0" w:color="auto"/>
            </w:tcBorders>
          </w:tcPr>
          <w:p w:rsidR="001331F3" w:rsidRDefault="001331F3">
            <w:pPr>
              <w:autoSpaceDE w:val="0"/>
              <w:autoSpaceDN w:val="0"/>
              <w:adjustRightInd w:val="0"/>
              <w:rPr>
                <w:rFonts w:ascii="Times New Roman" w:hAnsi="Times New Roman" w:cs="Times New Roman"/>
                <w:sz w:val="20"/>
                <w:szCs w:val="20"/>
              </w:rPr>
            </w:pPr>
          </w:p>
        </w:tc>
        <w:tc>
          <w:tcPr>
            <w:tcW w:w="1276" w:type="dxa"/>
            <w:tcBorders>
              <w:top w:val="single" w:sz="4" w:space="0" w:color="auto"/>
              <w:bottom w:val="single" w:sz="4" w:space="0" w:color="auto"/>
            </w:tcBorders>
            <w:vAlign w:val="bottom"/>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Sum of Squares</w:t>
            </w:r>
          </w:p>
        </w:tc>
        <w:tc>
          <w:tcPr>
            <w:tcW w:w="1392" w:type="dxa"/>
            <w:tcBorders>
              <w:top w:val="single" w:sz="4" w:space="0" w:color="auto"/>
              <w:bottom w:val="single" w:sz="4" w:space="0" w:color="auto"/>
            </w:tcBorders>
            <w:vAlign w:val="bottom"/>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Df</w:t>
            </w:r>
          </w:p>
        </w:tc>
        <w:tc>
          <w:tcPr>
            <w:tcW w:w="1471" w:type="dxa"/>
            <w:tcBorders>
              <w:top w:val="single" w:sz="4" w:space="0" w:color="auto"/>
              <w:bottom w:val="single" w:sz="4" w:space="0" w:color="auto"/>
            </w:tcBorders>
            <w:vAlign w:val="bottom"/>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Mean Square</w:t>
            </w:r>
          </w:p>
        </w:tc>
        <w:tc>
          <w:tcPr>
            <w:tcW w:w="1471" w:type="dxa"/>
            <w:tcBorders>
              <w:top w:val="single" w:sz="4" w:space="0" w:color="auto"/>
              <w:bottom w:val="single" w:sz="4" w:space="0" w:color="auto"/>
            </w:tcBorders>
            <w:vAlign w:val="bottom"/>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F</w:t>
            </w:r>
          </w:p>
        </w:tc>
        <w:tc>
          <w:tcPr>
            <w:tcW w:w="1470" w:type="dxa"/>
            <w:tcBorders>
              <w:top w:val="single" w:sz="4" w:space="0" w:color="auto"/>
              <w:bottom w:val="single" w:sz="4" w:space="0" w:color="auto"/>
            </w:tcBorders>
            <w:vAlign w:val="bottom"/>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Sig.</w:t>
            </w:r>
          </w:p>
        </w:tc>
      </w:tr>
      <w:tr w:rsidR="001331F3" w:rsidTr="00C464C0">
        <w:trPr>
          <w:trHeight w:val="221"/>
        </w:trPr>
        <w:tc>
          <w:tcPr>
            <w:tcW w:w="1668" w:type="dxa"/>
            <w:tcBorders>
              <w:top w:val="single" w:sz="4" w:space="0" w:color="auto"/>
            </w:tcBorders>
            <w:hideMark/>
          </w:tcPr>
          <w:p w:rsidR="001331F3" w:rsidRDefault="001331F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Kecemasan Menghadapi Kematian</w:t>
            </w:r>
          </w:p>
        </w:tc>
        <w:tc>
          <w:tcPr>
            <w:tcW w:w="1559" w:type="dxa"/>
            <w:tcBorders>
              <w:top w:val="single" w:sz="4" w:space="0" w:color="auto"/>
            </w:tcBorders>
            <w:hideMark/>
          </w:tcPr>
          <w:p w:rsidR="001331F3" w:rsidRDefault="001331F3">
            <w:pPr>
              <w:autoSpaceDE w:val="0"/>
              <w:autoSpaceDN w:val="0"/>
              <w:adjustRightInd w:val="0"/>
              <w:spacing w:line="320" w:lineRule="atLeast"/>
              <w:ind w:left="60" w:right="60"/>
              <w:rPr>
                <w:rFonts w:ascii="Times New Roman" w:hAnsi="Times New Roman" w:cs="Times New Roman"/>
                <w:sz w:val="20"/>
                <w:szCs w:val="20"/>
              </w:rPr>
            </w:pPr>
            <w:r>
              <w:rPr>
                <w:rFonts w:ascii="Times New Roman" w:hAnsi="Times New Roman" w:cs="Times New Roman"/>
                <w:sz w:val="20"/>
                <w:szCs w:val="20"/>
              </w:rPr>
              <w:t>(Combined)</w:t>
            </w:r>
          </w:p>
        </w:tc>
        <w:tc>
          <w:tcPr>
            <w:tcW w:w="1276" w:type="dxa"/>
            <w:tcBorders>
              <w:top w:val="single" w:sz="4" w:space="0" w:color="auto"/>
            </w:tcBorders>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611,565</w:t>
            </w:r>
          </w:p>
        </w:tc>
        <w:tc>
          <w:tcPr>
            <w:tcW w:w="1392" w:type="dxa"/>
            <w:tcBorders>
              <w:top w:val="single" w:sz="4" w:space="0" w:color="auto"/>
            </w:tcBorders>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8</w:t>
            </w:r>
          </w:p>
        </w:tc>
        <w:tc>
          <w:tcPr>
            <w:tcW w:w="1471" w:type="dxa"/>
            <w:tcBorders>
              <w:top w:val="single" w:sz="4" w:space="0" w:color="auto"/>
            </w:tcBorders>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76,446</w:t>
            </w:r>
          </w:p>
        </w:tc>
        <w:tc>
          <w:tcPr>
            <w:tcW w:w="1471" w:type="dxa"/>
            <w:tcBorders>
              <w:top w:val="single" w:sz="4" w:space="0" w:color="auto"/>
            </w:tcBorders>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4,076</w:t>
            </w:r>
          </w:p>
        </w:tc>
        <w:tc>
          <w:tcPr>
            <w:tcW w:w="1470" w:type="dxa"/>
            <w:tcBorders>
              <w:top w:val="single" w:sz="4" w:space="0" w:color="auto"/>
            </w:tcBorders>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,000</w:t>
            </w:r>
          </w:p>
        </w:tc>
      </w:tr>
      <w:tr w:rsidR="001331F3" w:rsidTr="00C464C0">
        <w:tc>
          <w:tcPr>
            <w:tcW w:w="1668" w:type="dxa"/>
            <w:hideMark/>
          </w:tcPr>
          <w:p w:rsidR="001331F3" w:rsidRDefault="001331F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Religiusitas</w:t>
            </w:r>
          </w:p>
        </w:tc>
        <w:tc>
          <w:tcPr>
            <w:tcW w:w="1559" w:type="dxa"/>
            <w:hideMark/>
          </w:tcPr>
          <w:p w:rsidR="001331F3" w:rsidRDefault="001331F3">
            <w:pPr>
              <w:autoSpaceDE w:val="0"/>
              <w:autoSpaceDN w:val="0"/>
              <w:adjustRightInd w:val="0"/>
              <w:spacing w:line="320" w:lineRule="atLeast"/>
              <w:ind w:left="60" w:right="60"/>
              <w:rPr>
                <w:rFonts w:ascii="Times New Roman" w:hAnsi="Times New Roman" w:cs="Times New Roman"/>
                <w:sz w:val="20"/>
                <w:szCs w:val="20"/>
              </w:rPr>
            </w:pPr>
            <w:r>
              <w:rPr>
                <w:rFonts w:ascii="Times New Roman" w:hAnsi="Times New Roman" w:cs="Times New Roman"/>
                <w:sz w:val="20"/>
                <w:szCs w:val="20"/>
              </w:rPr>
              <w:t>Linearity</w:t>
            </w:r>
          </w:p>
        </w:tc>
        <w:tc>
          <w:tcPr>
            <w:tcW w:w="1276"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357,167</w:t>
            </w:r>
          </w:p>
        </w:tc>
        <w:tc>
          <w:tcPr>
            <w:tcW w:w="1392"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1</w:t>
            </w:r>
          </w:p>
        </w:tc>
        <w:tc>
          <w:tcPr>
            <w:tcW w:w="1471"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357,167</w:t>
            </w:r>
          </w:p>
        </w:tc>
        <w:tc>
          <w:tcPr>
            <w:tcW w:w="1471"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19,045</w:t>
            </w:r>
          </w:p>
        </w:tc>
        <w:tc>
          <w:tcPr>
            <w:tcW w:w="1470"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,000</w:t>
            </w:r>
          </w:p>
        </w:tc>
      </w:tr>
      <w:tr w:rsidR="001331F3" w:rsidTr="00C464C0">
        <w:tc>
          <w:tcPr>
            <w:tcW w:w="1668" w:type="dxa"/>
          </w:tcPr>
          <w:p w:rsidR="001331F3" w:rsidRDefault="001331F3">
            <w:pPr>
              <w:autoSpaceDE w:val="0"/>
              <w:autoSpaceDN w:val="0"/>
              <w:adjustRightInd w:val="0"/>
              <w:rPr>
                <w:rFonts w:ascii="Times New Roman" w:hAnsi="Times New Roman" w:cs="Times New Roman"/>
                <w:sz w:val="20"/>
                <w:szCs w:val="20"/>
              </w:rPr>
            </w:pPr>
          </w:p>
        </w:tc>
        <w:tc>
          <w:tcPr>
            <w:tcW w:w="1559" w:type="dxa"/>
            <w:hideMark/>
          </w:tcPr>
          <w:p w:rsidR="001331F3" w:rsidRDefault="001331F3">
            <w:pPr>
              <w:autoSpaceDE w:val="0"/>
              <w:autoSpaceDN w:val="0"/>
              <w:adjustRightInd w:val="0"/>
              <w:spacing w:line="320" w:lineRule="atLeast"/>
              <w:ind w:left="60" w:right="60"/>
              <w:rPr>
                <w:rFonts w:ascii="Times New Roman" w:hAnsi="Times New Roman" w:cs="Times New Roman"/>
                <w:sz w:val="20"/>
                <w:szCs w:val="20"/>
              </w:rPr>
            </w:pPr>
            <w:r>
              <w:rPr>
                <w:rFonts w:ascii="Times New Roman" w:hAnsi="Times New Roman" w:cs="Times New Roman"/>
                <w:sz w:val="20"/>
                <w:szCs w:val="20"/>
              </w:rPr>
              <w:t>Deviation from Linearity</w:t>
            </w:r>
          </w:p>
        </w:tc>
        <w:tc>
          <w:tcPr>
            <w:tcW w:w="1276"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254,398</w:t>
            </w:r>
          </w:p>
        </w:tc>
        <w:tc>
          <w:tcPr>
            <w:tcW w:w="1392"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7</w:t>
            </w:r>
          </w:p>
        </w:tc>
        <w:tc>
          <w:tcPr>
            <w:tcW w:w="1471"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36,343</w:t>
            </w:r>
          </w:p>
        </w:tc>
        <w:tc>
          <w:tcPr>
            <w:tcW w:w="1471"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1,938</w:t>
            </w:r>
          </w:p>
        </w:tc>
        <w:tc>
          <w:tcPr>
            <w:tcW w:w="1470"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,072</w:t>
            </w:r>
          </w:p>
        </w:tc>
      </w:tr>
      <w:tr w:rsidR="001331F3" w:rsidTr="00C464C0">
        <w:tc>
          <w:tcPr>
            <w:tcW w:w="1668" w:type="dxa"/>
            <w:tcBorders>
              <w:bottom w:val="nil"/>
            </w:tcBorders>
            <w:hideMark/>
          </w:tcPr>
          <w:p w:rsidR="001331F3" w:rsidRDefault="001331F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Within Groups</w:t>
            </w:r>
          </w:p>
        </w:tc>
        <w:tc>
          <w:tcPr>
            <w:tcW w:w="1559" w:type="dxa"/>
            <w:tcBorders>
              <w:bottom w:val="nil"/>
            </w:tcBorders>
          </w:tcPr>
          <w:p w:rsidR="001331F3" w:rsidRDefault="001331F3">
            <w:pPr>
              <w:autoSpaceDE w:val="0"/>
              <w:autoSpaceDN w:val="0"/>
              <w:adjustRightInd w:val="0"/>
              <w:rPr>
                <w:rFonts w:ascii="Times New Roman" w:hAnsi="Times New Roman" w:cs="Times New Roman"/>
                <w:sz w:val="20"/>
                <w:szCs w:val="20"/>
              </w:rPr>
            </w:pPr>
          </w:p>
        </w:tc>
        <w:tc>
          <w:tcPr>
            <w:tcW w:w="1276" w:type="dxa"/>
            <w:tcBorders>
              <w:bottom w:val="nil"/>
            </w:tcBorders>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1706,625</w:t>
            </w:r>
          </w:p>
        </w:tc>
        <w:tc>
          <w:tcPr>
            <w:tcW w:w="1392" w:type="dxa"/>
            <w:tcBorders>
              <w:bottom w:val="nil"/>
            </w:tcBorders>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91</w:t>
            </w:r>
          </w:p>
        </w:tc>
        <w:tc>
          <w:tcPr>
            <w:tcW w:w="1471" w:type="dxa"/>
            <w:tcBorders>
              <w:bottom w:val="nil"/>
            </w:tcBorders>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18,754</w:t>
            </w:r>
          </w:p>
        </w:tc>
        <w:tc>
          <w:tcPr>
            <w:tcW w:w="1471" w:type="dxa"/>
            <w:tcBorders>
              <w:bottom w:val="nil"/>
            </w:tcBorders>
            <w:vAlign w:val="center"/>
          </w:tcPr>
          <w:p w:rsidR="001331F3" w:rsidRDefault="001331F3">
            <w:pPr>
              <w:autoSpaceDE w:val="0"/>
              <w:autoSpaceDN w:val="0"/>
              <w:adjustRightInd w:val="0"/>
              <w:jc w:val="center"/>
              <w:rPr>
                <w:rFonts w:ascii="Times New Roman" w:hAnsi="Times New Roman" w:cs="Times New Roman"/>
                <w:sz w:val="20"/>
                <w:szCs w:val="20"/>
              </w:rPr>
            </w:pPr>
          </w:p>
        </w:tc>
        <w:tc>
          <w:tcPr>
            <w:tcW w:w="1470" w:type="dxa"/>
            <w:tcBorders>
              <w:bottom w:val="nil"/>
            </w:tcBorders>
            <w:vAlign w:val="center"/>
          </w:tcPr>
          <w:p w:rsidR="001331F3" w:rsidRDefault="001331F3">
            <w:pPr>
              <w:autoSpaceDE w:val="0"/>
              <w:autoSpaceDN w:val="0"/>
              <w:adjustRightInd w:val="0"/>
              <w:jc w:val="center"/>
              <w:rPr>
                <w:rFonts w:ascii="Times New Roman" w:hAnsi="Times New Roman" w:cs="Times New Roman"/>
                <w:sz w:val="20"/>
                <w:szCs w:val="20"/>
              </w:rPr>
            </w:pPr>
          </w:p>
        </w:tc>
      </w:tr>
      <w:tr w:rsidR="001331F3" w:rsidTr="00C464C0">
        <w:tc>
          <w:tcPr>
            <w:tcW w:w="1668" w:type="dxa"/>
            <w:tcBorders>
              <w:top w:val="nil"/>
              <w:bottom w:val="single" w:sz="4" w:space="0" w:color="auto"/>
            </w:tcBorders>
            <w:hideMark/>
          </w:tcPr>
          <w:p w:rsidR="001331F3" w:rsidRDefault="001331F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Total</w:t>
            </w:r>
          </w:p>
        </w:tc>
        <w:tc>
          <w:tcPr>
            <w:tcW w:w="1559" w:type="dxa"/>
            <w:tcBorders>
              <w:top w:val="nil"/>
              <w:bottom w:val="single" w:sz="4" w:space="0" w:color="auto"/>
            </w:tcBorders>
          </w:tcPr>
          <w:p w:rsidR="001331F3" w:rsidRDefault="001331F3">
            <w:pPr>
              <w:autoSpaceDE w:val="0"/>
              <w:autoSpaceDN w:val="0"/>
              <w:adjustRightInd w:val="0"/>
              <w:rPr>
                <w:rFonts w:ascii="Times New Roman" w:hAnsi="Times New Roman" w:cs="Times New Roman"/>
                <w:sz w:val="20"/>
                <w:szCs w:val="20"/>
              </w:rPr>
            </w:pPr>
          </w:p>
        </w:tc>
        <w:tc>
          <w:tcPr>
            <w:tcW w:w="1276" w:type="dxa"/>
            <w:tcBorders>
              <w:top w:val="nil"/>
              <w:bottom w:val="single" w:sz="4" w:space="0" w:color="auto"/>
            </w:tcBorders>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2318,190</w:t>
            </w:r>
          </w:p>
        </w:tc>
        <w:tc>
          <w:tcPr>
            <w:tcW w:w="1392" w:type="dxa"/>
            <w:tcBorders>
              <w:top w:val="nil"/>
              <w:bottom w:val="single" w:sz="4" w:space="0" w:color="auto"/>
            </w:tcBorders>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99</w:t>
            </w:r>
          </w:p>
        </w:tc>
        <w:tc>
          <w:tcPr>
            <w:tcW w:w="1471" w:type="dxa"/>
            <w:tcBorders>
              <w:top w:val="nil"/>
              <w:bottom w:val="single" w:sz="4" w:space="0" w:color="auto"/>
            </w:tcBorders>
            <w:vAlign w:val="center"/>
          </w:tcPr>
          <w:p w:rsidR="001331F3" w:rsidRDefault="001331F3">
            <w:pPr>
              <w:autoSpaceDE w:val="0"/>
              <w:autoSpaceDN w:val="0"/>
              <w:adjustRightInd w:val="0"/>
              <w:jc w:val="center"/>
              <w:rPr>
                <w:rFonts w:ascii="Times New Roman" w:hAnsi="Times New Roman" w:cs="Times New Roman"/>
                <w:sz w:val="20"/>
                <w:szCs w:val="20"/>
              </w:rPr>
            </w:pPr>
          </w:p>
        </w:tc>
        <w:tc>
          <w:tcPr>
            <w:tcW w:w="1471" w:type="dxa"/>
            <w:tcBorders>
              <w:top w:val="nil"/>
              <w:bottom w:val="single" w:sz="4" w:space="0" w:color="auto"/>
            </w:tcBorders>
            <w:vAlign w:val="center"/>
          </w:tcPr>
          <w:p w:rsidR="001331F3" w:rsidRDefault="001331F3">
            <w:pPr>
              <w:autoSpaceDE w:val="0"/>
              <w:autoSpaceDN w:val="0"/>
              <w:adjustRightInd w:val="0"/>
              <w:jc w:val="center"/>
              <w:rPr>
                <w:rFonts w:ascii="Times New Roman" w:hAnsi="Times New Roman" w:cs="Times New Roman"/>
                <w:sz w:val="20"/>
                <w:szCs w:val="20"/>
              </w:rPr>
            </w:pPr>
          </w:p>
        </w:tc>
        <w:tc>
          <w:tcPr>
            <w:tcW w:w="1470" w:type="dxa"/>
            <w:tcBorders>
              <w:top w:val="nil"/>
              <w:bottom w:val="single" w:sz="4" w:space="0" w:color="auto"/>
            </w:tcBorders>
            <w:vAlign w:val="center"/>
          </w:tcPr>
          <w:p w:rsidR="001331F3" w:rsidRDefault="001331F3">
            <w:pPr>
              <w:autoSpaceDE w:val="0"/>
              <w:autoSpaceDN w:val="0"/>
              <w:adjustRightInd w:val="0"/>
              <w:jc w:val="center"/>
              <w:rPr>
                <w:rFonts w:ascii="Times New Roman" w:hAnsi="Times New Roman" w:cs="Times New Roman"/>
                <w:sz w:val="20"/>
                <w:szCs w:val="20"/>
              </w:rPr>
            </w:pPr>
          </w:p>
        </w:tc>
      </w:tr>
    </w:tbl>
    <w:p w:rsidR="001331F3" w:rsidRDefault="001331F3" w:rsidP="001331F3">
      <w:pPr>
        <w:jc w:val="center"/>
        <w:rPr>
          <w:sz w:val="20"/>
          <w:szCs w:val="20"/>
        </w:rPr>
      </w:pPr>
      <w:r>
        <w:rPr>
          <w:sz w:val="20"/>
          <w:szCs w:val="20"/>
        </w:rPr>
        <w:t>Kecemasan Menghadapi Kematian vs. Religiusitas</w:t>
      </w:r>
    </w:p>
    <w:p w:rsidR="001331F3" w:rsidRDefault="001331F3" w:rsidP="001331F3">
      <w:pPr>
        <w:jc w:val="both"/>
        <w:rPr>
          <w:sz w:val="20"/>
          <w:szCs w:val="20"/>
        </w:rPr>
      </w:pPr>
    </w:p>
    <w:p w:rsidR="001331F3" w:rsidRDefault="001331F3" w:rsidP="001331F3">
      <w:pPr>
        <w:jc w:val="both"/>
        <w:rPr>
          <w:sz w:val="20"/>
          <w:szCs w:val="20"/>
        </w:rPr>
      </w:pPr>
      <w:r>
        <w:rPr>
          <w:sz w:val="20"/>
          <w:szCs w:val="20"/>
        </w:rPr>
        <w:t>Berdasarkan hasil uji linieritas ANOVA Table hasil nilai signifikansi yang diperoleh p liniearity 0,072 &gt; 0,05</w:t>
      </w:r>
    </w:p>
    <w:p w:rsidR="001331F3" w:rsidRDefault="001331F3" w:rsidP="001331F3"/>
    <w:p w:rsidR="001331F3" w:rsidRDefault="001331F3" w:rsidP="001331F3"/>
    <w:p w:rsidR="001331F3" w:rsidRDefault="001331F3" w:rsidP="001331F3"/>
    <w:p w:rsidR="001331F3" w:rsidRDefault="001331F3" w:rsidP="001331F3"/>
    <w:p w:rsidR="001331F3" w:rsidRDefault="001331F3" w:rsidP="001331F3"/>
    <w:p w:rsidR="001331F3" w:rsidRDefault="001331F3" w:rsidP="001331F3"/>
    <w:p w:rsidR="001331F3" w:rsidRDefault="001331F3" w:rsidP="001331F3"/>
    <w:p w:rsidR="001331F3" w:rsidRDefault="001331F3" w:rsidP="001331F3">
      <w:pPr>
        <w:autoSpaceDE w:val="0"/>
        <w:autoSpaceDN w:val="0"/>
        <w:adjustRightInd w:val="0"/>
        <w:jc w:val="center"/>
        <w:rPr>
          <w:rFonts w:eastAsiaTheme="minorEastAsia"/>
          <w:b/>
          <w:bCs/>
          <w:color w:val="010205"/>
        </w:rPr>
      </w:pPr>
    </w:p>
    <w:p w:rsidR="001331F3" w:rsidRDefault="001331F3" w:rsidP="001331F3">
      <w:pPr>
        <w:autoSpaceDE w:val="0"/>
        <w:autoSpaceDN w:val="0"/>
        <w:adjustRightInd w:val="0"/>
        <w:jc w:val="center"/>
        <w:rPr>
          <w:rFonts w:eastAsiaTheme="minorEastAsia"/>
        </w:rPr>
      </w:pPr>
      <w:r>
        <w:rPr>
          <w:rFonts w:eastAsiaTheme="minorEastAsia"/>
          <w:b/>
          <w:bCs/>
          <w:color w:val="010205"/>
        </w:rPr>
        <w:t>ANOVA Table</w:t>
      </w:r>
    </w:p>
    <w:tbl>
      <w:tblPr>
        <w:tblStyle w:val="TableGrid"/>
        <w:tblW w:w="10305" w:type="dxa"/>
        <w:tblBorders>
          <w:left w:val="none" w:sz="0" w:space="0" w:color="auto"/>
          <w:right w:val="none" w:sz="0" w:space="0" w:color="auto"/>
          <w:insideH w:val="none" w:sz="0" w:space="0" w:color="auto"/>
          <w:insideV w:val="none" w:sz="0" w:space="0" w:color="auto"/>
        </w:tblBorders>
        <w:tblLayout w:type="fixed"/>
        <w:tblLook w:val="04A0"/>
      </w:tblPr>
      <w:tblGrid>
        <w:gridCol w:w="1667"/>
        <w:gridCol w:w="1558"/>
        <w:gridCol w:w="1276"/>
        <w:gridCol w:w="1392"/>
        <w:gridCol w:w="1471"/>
        <w:gridCol w:w="1471"/>
        <w:gridCol w:w="1470"/>
      </w:tblGrid>
      <w:tr w:rsidR="001331F3" w:rsidTr="00C464C0">
        <w:tc>
          <w:tcPr>
            <w:tcW w:w="1668" w:type="dxa"/>
            <w:tcBorders>
              <w:top w:val="single" w:sz="4" w:space="0" w:color="auto"/>
              <w:bottom w:val="single" w:sz="4" w:space="0" w:color="auto"/>
            </w:tcBorders>
          </w:tcPr>
          <w:p w:rsidR="001331F3" w:rsidRDefault="001331F3">
            <w:pPr>
              <w:autoSpaceDE w:val="0"/>
              <w:autoSpaceDN w:val="0"/>
              <w:adjustRightInd w:val="0"/>
              <w:rPr>
                <w:rFonts w:ascii="Times New Roman" w:hAnsi="Times New Roman" w:cs="Times New Roman"/>
                <w:sz w:val="20"/>
                <w:szCs w:val="20"/>
              </w:rPr>
            </w:pPr>
          </w:p>
        </w:tc>
        <w:tc>
          <w:tcPr>
            <w:tcW w:w="1559" w:type="dxa"/>
            <w:tcBorders>
              <w:top w:val="single" w:sz="4" w:space="0" w:color="auto"/>
              <w:bottom w:val="single" w:sz="4" w:space="0" w:color="auto"/>
            </w:tcBorders>
          </w:tcPr>
          <w:p w:rsidR="001331F3" w:rsidRDefault="001331F3">
            <w:pPr>
              <w:autoSpaceDE w:val="0"/>
              <w:autoSpaceDN w:val="0"/>
              <w:adjustRightInd w:val="0"/>
              <w:rPr>
                <w:rFonts w:ascii="Times New Roman" w:hAnsi="Times New Roman" w:cs="Times New Roman"/>
                <w:sz w:val="20"/>
                <w:szCs w:val="20"/>
              </w:rPr>
            </w:pPr>
          </w:p>
        </w:tc>
        <w:tc>
          <w:tcPr>
            <w:tcW w:w="1276" w:type="dxa"/>
            <w:tcBorders>
              <w:top w:val="single" w:sz="4" w:space="0" w:color="auto"/>
              <w:bottom w:val="single" w:sz="4" w:space="0" w:color="auto"/>
            </w:tcBorders>
            <w:vAlign w:val="bottom"/>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Sum of Squares</w:t>
            </w:r>
          </w:p>
        </w:tc>
        <w:tc>
          <w:tcPr>
            <w:tcW w:w="1392" w:type="dxa"/>
            <w:tcBorders>
              <w:top w:val="single" w:sz="4" w:space="0" w:color="auto"/>
              <w:bottom w:val="single" w:sz="4" w:space="0" w:color="auto"/>
            </w:tcBorders>
            <w:vAlign w:val="bottom"/>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Df</w:t>
            </w:r>
          </w:p>
        </w:tc>
        <w:tc>
          <w:tcPr>
            <w:tcW w:w="1471" w:type="dxa"/>
            <w:tcBorders>
              <w:top w:val="single" w:sz="4" w:space="0" w:color="auto"/>
              <w:bottom w:val="single" w:sz="4" w:space="0" w:color="auto"/>
            </w:tcBorders>
            <w:vAlign w:val="bottom"/>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Mean Square</w:t>
            </w:r>
          </w:p>
        </w:tc>
        <w:tc>
          <w:tcPr>
            <w:tcW w:w="1471" w:type="dxa"/>
            <w:tcBorders>
              <w:top w:val="single" w:sz="4" w:space="0" w:color="auto"/>
              <w:bottom w:val="single" w:sz="4" w:space="0" w:color="auto"/>
            </w:tcBorders>
            <w:vAlign w:val="bottom"/>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F</w:t>
            </w:r>
          </w:p>
        </w:tc>
        <w:tc>
          <w:tcPr>
            <w:tcW w:w="1470" w:type="dxa"/>
            <w:tcBorders>
              <w:top w:val="single" w:sz="4" w:space="0" w:color="auto"/>
              <w:bottom w:val="single" w:sz="4" w:space="0" w:color="auto"/>
            </w:tcBorders>
            <w:vAlign w:val="bottom"/>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Sig.</w:t>
            </w:r>
          </w:p>
        </w:tc>
      </w:tr>
      <w:tr w:rsidR="001331F3" w:rsidTr="00C464C0">
        <w:trPr>
          <w:trHeight w:val="221"/>
        </w:trPr>
        <w:tc>
          <w:tcPr>
            <w:tcW w:w="1668" w:type="dxa"/>
            <w:tcBorders>
              <w:top w:val="single" w:sz="4" w:space="0" w:color="auto"/>
            </w:tcBorders>
            <w:hideMark/>
          </w:tcPr>
          <w:p w:rsidR="001331F3" w:rsidRDefault="001331F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Kecemasan Menghadapi Kematian</w:t>
            </w:r>
          </w:p>
        </w:tc>
        <w:tc>
          <w:tcPr>
            <w:tcW w:w="1559" w:type="dxa"/>
            <w:tcBorders>
              <w:top w:val="single" w:sz="4" w:space="0" w:color="auto"/>
            </w:tcBorders>
            <w:hideMark/>
          </w:tcPr>
          <w:p w:rsidR="001331F3" w:rsidRDefault="001331F3">
            <w:pPr>
              <w:autoSpaceDE w:val="0"/>
              <w:autoSpaceDN w:val="0"/>
              <w:adjustRightInd w:val="0"/>
              <w:spacing w:line="320" w:lineRule="atLeast"/>
              <w:ind w:left="60" w:right="60"/>
              <w:rPr>
                <w:rFonts w:ascii="Times New Roman" w:hAnsi="Times New Roman" w:cs="Times New Roman"/>
                <w:sz w:val="20"/>
                <w:szCs w:val="20"/>
              </w:rPr>
            </w:pPr>
            <w:r>
              <w:rPr>
                <w:rFonts w:ascii="Times New Roman" w:hAnsi="Times New Roman" w:cs="Times New Roman"/>
                <w:sz w:val="20"/>
                <w:szCs w:val="20"/>
              </w:rPr>
              <w:t>(Combined)</w:t>
            </w:r>
          </w:p>
        </w:tc>
        <w:tc>
          <w:tcPr>
            <w:tcW w:w="1276" w:type="dxa"/>
            <w:tcBorders>
              <w:top w:val="single" w:sz="4" w:space="0" w:color="auto"/>
            </w:tcBorders>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415,055</w:t>
            </w:r>
          </w:p>
        </w:tc>
        <w:tc>
          <w:tcPr>
            <w:tcW w:w="1392" w:type="dxa"/>
            <w:tcBorders>
              <w:top w:val="single" w:sz="4" w:space="0" w:color="auto"/>
            </w:tcBorders>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4</w:t>
            </w:r>
          </w:p>
        </w:tc>
        <w:tc>
          <w:tcPr>
            <w:tcW w:w="1471" w:type="dxa"/>
            <w:tcBorders>
              <w:top w:val="single" w:sz="4" w:space="0" w:color="auto"/>
            </w:tcBorders>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103,764</w:t>
            </w:r>
          </w:p>
        </w:tc>
        <w:tc>
          <w:tcPr>
            <w:tcW w:w="1471" w:type="dxa"/>
            <w:tcBorders>
              <w:top w:val="single" w:sz="4" w:space="0" w:color="auto"/>
            </w:tcBorders>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5,180</w:t>
            </w:r>
          </w:p>
        </w:tc>
        <w:tc>
          <w:tcPr>
            <w:tcW w:w="1470" w:type="dxa"/>
            <w:tcBorders>
              <w:top w:val="single" w:sz="4" w:space="0" w:color="auto"/>
            </w:tcBorders>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,001</w:t>
            </w:r>
          </w:p>
        </w:tc>
      </w:tr>
      <w:tr w:rsidR="001331F3" w:rsidTr="00C464C0">
        <w:tc>
          <w:tcPr>
            <w:tcW w:w="1668" w:type="dxa"/>
            <w:hideMark/>
          </w:tcPr>
          <w:p w:rsidR="001331F3" w:rsidRDefault="001331F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Dukungan Sosial</w:t>
            </w:r>
          </w:p>
        </w:tc>
        <w:tc>
          <w:tcPr>
            <w:tcW w:w="1559" w:type="dxa"/>
            <w:hideMark/>
          </w:tcPr>
          <w:p w:rsidR="001331F3" w:rsidRDefault="001331F3">
            <w:pPr>
              <w:autoSpaceDE w:val="0"/>
              <w:autoSpaceDN w:val="0"/>
              <w:adjustRightInd w:val="0"/>
              <w:spacing w:line="320" w:lineRule="atLeast"/>
              <w:ind w:left="60" w:right="60"/>
              <w:rPr>
                <w:rFonts w:ascii="Times New Roman" w:hAnsi="Times New Roman" w:cs="Times New Roman"/>
                <w:sz w:val="20"/>
                <w:szCs w:val="20"/>
              </w:rPr>
            </w:pPr>
            <w:r>
              <w:rPr>
                <w:rFonts w:ascii="Times New Roman" w:hAnsi="Times New Roman" w:cs="Times New Roman"/>
                <w:sz w:val="20"/>
                <w:szCs w:val="20"/>
              </w:rPr>
              <w:t>Linearity</w:t>
            </w:r>
          </w:p>
        </w:tc>
        <w:tc>
          <w:tcPr>
            <w:tcW w:w="1276"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411,503</w:t>
            </w:r>
          </w:p>
        </w:tc>
        <w:tc>
          <w:tcPr>
            <w:tcW w:w="1392"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1</w:t>
            </w:r>
          </w:p>
        </w:tc>
        <w:tc>
          <w:tcPr>
            <w:tcW w:w="1471"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411,503</w:t>
            </w:r>
          </w:p>
        </w:tc>
        <w:tc>
          <w:tcPr>
            <w:tcW w:w="1471"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20,541</w:t>
            </w:r>
          </w:p>
        </w:tc>
        <w:tc>
          <w:tcPr>
            <w:tcW w:w="1470"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,000</w:t>
            </w:r>
          </w:p>
        </w:tc>
      </w:tr>
      <w:tr w:rsidR="001331F3" w:rsidTr="00C464C0">
        <w:tc>
          <w:tcPr>
            <w:tcW w:w="1668" w:type="dxa"/>
          </w:tcPr>
          <w:p w:rsidR="001331F3" w:rsidRDefault="001331F3">
            <w:pPr>
              <w:autoSpaceDE w:val="0"/>
              <w:autoSpaceDN w:val="0"/>
              <w:adjustRightInd w:val="0"/>
              <w:rPr>
                <w:rFonts w:ascii="Times New Roman" w:hAnsi="Times New Roman" w:cs="Times New Roman"/>
                <w:sz w:val="20"/>
                <w:szCs w:val="20"/>
              </w:rPr>
            </w:pPr>
          </w:p>
        </w:tc>
        <w:tc>
          <w:tcPr>
            <w:tcW w:w="1559" w:type="dxa"/>
            <w:hideMark/>
          </w:tcPr>
          <w:p w:rsidR="001331F3" w:rsidRDefault="001331F3">
            <w:pPr>
              <w:autoSpaceDE w:val="0"/>
              <w:autoSpaceDN w:val="0"/>
              <w:adjustRightInd w:val="0"/>
              <w:spacing w:line="320" w:lineRule="atLeast"/>
              <w:ind w:left="60" w:right="60"/>
              <w:rPr>
                <w:rFonts w:ascii="Times New Roman" w:hAnsi="Times New Roman" w:cs="Times New Roman"/>
                <w:sz w:val="20"/>
                <w:szCs w:val="20"/>
              </w:rPr>
            </w:pPr>
            <w:r>
              <w:rPr>
                <w:rFonts w:ascii="Times New Roman" w:hAnsi="Times New Roman" w:cs="Times New Roman"/>
                <w:sz w:val="20"/>
                <w:szCs w:val="20"/>
              </w:rPr>
              <w:t>Deviation from Linearity</w:t>
            </w:r>
          </w:p>
        </w:tc>
        <w:tc>
          <w:tcPr>
            <w:tcW w:w="1276"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3,551</w:t>
            </w:r>
          </w:p>
        </w:tc>
        <w:tc>
          <w:tcPr>
            <w:tcW w:w="1392"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3</w:t>
            </w:r>
          </w:p>
        </w:tc>
        <w:tc>
          <w:tcPr>
            <w:tcW w:w="1471"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1,184</w:t>
            </w:r>
          </w:p>
        </w:tc>
        <w:tc>
          <w:tcPr>
            <w:tcW w:w="1471"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,059</w:t>
            </w:r>
          </w:p>
        </w:tc>
        <w:tc>
          <w:tcPr>
            <w:tcW w:w="1470"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,981</w:t>
            </w:r>
          </w:p>
        </w:tc>
      </w:tr>
      <w:tr w:rsidR="001331F3" w:rsidTr="00C464C0">
        <w:tc>
          <w:tcPr>
            <w:tcW w:w="1668" w:type="dxa"/>
            <w:hideMark/>
          </w:tcPr>
          <w:p w:rsidR="001331F3" w:rsidRDefault="001331F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Within Groups</w:t>
            </w:r>
          </w:p>
        </w:tc>
        <w:tc>
          <w:tcPr>
            <w:tcW w:w="1559" w:type="dxa"/>
          </w:tcPr>
          <w:p w:rsidR="001331F3" w:rsidRDefault="001331F3">
            <w:pPr>
              <w:autoSpaceDE w:val="0"/>
              <w:autoSpaceDN w:val="0"/>
              <w:adjustRightInd w:val="0"/>
              <w:rPr>
                <w:rFonts w:ascii="Times New Roman" w:hAnsi="Times New Roman" w:cs="Times New Roman"/>
                <w:sz w:val="20"/>
                <w:szCs w:val="20"/>
              </w:rPr>
            </w:pPr>
          </w:p>
        </w:tc>
        <w:tc>
          <w:tcPr>
            <w:tcW w:w="1276"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1903,135</w:t>
            </w:r>
          </w:p>
        </w:tc>
        <w:tc>
          <w:tcPr>
            <w:tcW w:w="1392"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95</w:t>
            </w:r>
          </w:p>
        </w:tc>
        <w:tc>
          <w:tcPr>
            <w:tcW w:w="1471"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20,033</w:t>
            </w:r>
          </w:p>
        </w:tc>
        <w:tc>
          <w:tcPr>
            <w:tcW w:w="1471" w:type="dxa"/>
            <w:vAlign w:val="center"/>
          </w:tcPr>
          <w:p w:rsidR="001331F3" w:rsidRDefault="001331F3">
            <w:pPr>
              <w:autoSpaceDE w:val="0"/>
              <w:autoSpaceDN w:val="0"/>
              <w:adjustRightInd w:val="0"/>
              <w:jc w:val="center"/>
              <w:rPr>
                <w:rFonts w:ascii="Times New Roman" w:hAnsi="Times New Roman" w:cs="Times New Roman"/>
                <w:sz w:val="20"/>
                <w:szCs w:val="20"/>
              </w:rPr>
            </w:pPr>
          </w:p>
        </w:tc>
        <w:tc>
          <w:tcPr>
            <w:tcW w:w="1470" w:type="dxa"/>
            <w:vAlign w:val="center"/>
          </w:tcPr>
          <w:p w:rsidR="001331F3" w:rsidRDefault="001331F3">
            <w:pPr>
              <w:autoSpaceDE w:val="0"/>
              <w:autoSpaceDN w:val="0"/>
              <w:adjustRightInd w:val="0"/>
              <w:jc w:val="center"/>
              <w:rPr>
                <w:rFonts w:ascii="Times New Roman" w:hAnsi="Times New Roman" w:cs="Times New Roman"/>
                <w:sz w:val="20"/>
                <w:szCs w:val="20"/>
              </w:rPr>
            </w:pPr>
          </w:p>
        </w:tc>
      </w:tr>
      <w:tr w:rsidR="001331F3" w:rsidTr="00C464C0">
        <w:tc>
          <w:tcPr>
            <w:tcW w:w="1668" w:type="dxa"/>
            <w:hideMark/>
          </w:tcPr>
          <w:p w:rsidR="001331F3" w:rsidRDefault="001331F3">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Total</w:t>
            </w:r>
          </w:p>
        </w:tc>
        <w:tc>
          <w:tcPr>
            <w:tcW w:w="1559" w:type="dxa"/>
          </w:tcPr>
          <w:p w:rsidR="001331F3" w:rsidRDefault="001331F3">
            <w:pPr>
              <w:autoSpaceDE w:val="0"/>
              <w:autoSpaceDN w:val="0"/>
              <w:adjustRightInd w:val="0"/>
              <w:rPr>
                <w:rFonts w:ascii="Times New Roman" w:hAnsi="Times New Roman" w:cs="Times New Roman"/>
                <w:sz w:val="20"/>
                <w:szCs w:val="20"/>
              </w:rPr>
            </w:pPr>
          </w:p>
        </w:tc>
        <w:tc>
          <w:tcPr>
            <w:tcW w:w="1276"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2318,190</w:t>
            </w:r>
          </w:p>
        </w:tc>
        <w:tc>
          <w:tcPr>
            <w:tcW w:w="1392" w:type="dxa"/>
            <w:hideMark/>
          </w:tcPr>
          <w:p w:rsidR="001331F3" w:rsidRDefault="001331F3">
            <w:pPr>
              <w:autoSpaceDE w:val="0"/>
              <w:autoSpaceDN w:val="0"/>
              <w:adjustRightInd w:val="0"/>
              <w:spacing w:line="320" w:lineRule="atLeast"/>
              <w:ind w:left="60" w:right="60"/>
              <w:jc w:val="center"/>
              <w:rPr>
                <w:rFonts w:ascii="Times New Roman" w:hAnsi="Times New Roman" w:cs="Times New Roman"/>
                <w:sz w:val="20"/>
                <w:szCs w:val="20"/>
              </w:rPr>
            </w:pPr>
            <w:r>
              <w:rPr>
                <w:rFonts w:ascii="Times New Roman" w:hAnsi="Times New Roman" w:cs="Times New Roman"/>
                <w:sz w:val="20"/>
                <w:szCs w:val="20"/>
              </w:rPr>
              <w:t>99</w:t>
            </w:r>
          </w:p>
        </w:tc>
        <w:tc>
          <w:tcPr>
            <w:tcW w:w="1471" w:type="dxa"/>
            <w:vAlign w:val="center"/>
          </w:tcPr>
          <w:p w:rsidR="001331F3" w:rsidRDefault="001331F3">
            <w:pPr>
              <w:autoSpaceDE w:val="0"/>
              <w:autoSpaceDN w:val="0"/>
              <w:adjustRightInd w:val="0"/>
              <w:jc w:val="center"/>
              <w:rPr>
                <w:rFonts w:ascii="Times New Roman" w:hAnsi="Times New Roman" w:cs="Times New Roman"/>
                <w:sz w:val="20"/>
                <w:szCs w:val="20"/>
              </w:rPr>
            </w:pPr>
          </w:p>
        </w:tc>
        <w:tc>
          <w:tcPr>
            <w:tcW w:w="1471" w:type="dxa"/>
            <w:vAlign w:val="center"/>
          </w:tcPr>
          <w:p w:rsidR="001331F3" w:rsidRDefault="001331F3">
            <w:pPr>
              <w:autoSpaceDE w:val="0"/>
              <w:autoSpaceDN w:val="0"/>
              <w:adjustRightInd w:val="0"/>
              <w:jc w:val="center"/>
              <w:rPr>
                <w:rFonts w:ascii="Times New Roman" w:hAnsi="Times New Roman" w:cs="Times New Roman"/>
                <w:sz w:val="20"/>
                <w:szCs w:val="20"/>
              </w:rPr>
            </w:pPr>
          </w:p>
        </w:tc>
        <w:tc>
          <w:tcPr>
            <w:tcW w:w="1470" w:type="dxa"/>
            <w:vAlign w:val="center"/>
          </w:tcPr>
          <w:p w:rsidR="001331F3" w:rsidRDefault="001331F3">
            <w:pPr>
              <w:autoSpaceDE w:val="0"/>
              <w:autoSpaceDN w:val="0"/>
              <w:adjustRightInd w:val="0"/>
              <w:jc w:val="center"/>
              <w:rPr>
                <w:rFonts w:ascii="Times New Roman" w:hAnsi="Times New Roman" w:cs="Times New Roman"/>
                <w:sz w:val="20"/>
                <w:szCs w:val="20"/>
              </w:rPr>
            </w:pPr>
          </w:p>
        </w:tc>
      </w:tr>
    </w:tbl>
    <w:p w:rsidR="001331F3" w:rsidRDefault="001331F3" w:rsidP="001331F3">
      <w:pPr>
        <w:jc w:val="center"/>
        <w:rPr>
          <w:sz w:val="20"/>
          <w:szCs w:val="20"/>
        </w:rPr>
      </w:pPr>
      <w:r>
        <w:rPr>
          <w:sz w:val="20"/>
          <w:szCs w:val="20"/>
        </w:rPr>
        <w:t>Kecemasan Menghadapi Kematian vs. Dukungan Sosial</w:t>
      </w:r>
    </w:p>
    <w:p w:rsidR="001331F3" w:rsidRDefault="001331F3" w:rsidP="001331F3"/>
    <w:p w:rsidR="001331F3" w:rsidRDefault="001331F3" w:rsidP="001331F3">
      <w:pPr>
        <w:jc w:val="both"/>
        <w:rPr>
          <w:sz w:val="20"/>
          <w:szCs w:val="20"/>
        </w:rPr>
      </w:pPr>
      <w:r>
        <w:rPr>
          <w:sz w:val="20"/>
          <w:szCs w:val="20"/>
        </w:rPr>
        <w:t>Berdasarkan ANOVA Table hasil uji linieritas nilai signifikansi yang diperoleh p liniearity 0,981 &gt; 0,05</w:t>
      </w:r>
    </w:p>
    <w:p w:rsidR="001331F3" w:rsidRDefault="001331F3" w:rsidP="001331F3"/>
    <w:p w:rsidR="001331F3" w:rsidRDefault="001331F3" w:rsidP="001331F3">
      <w:pPr>
        <w:jc w:val="both"/>
        <w:rPr>
          <w:sz w:val="20"/>
          <w:szCs w:val="20"/>
        </w:rPr>
      </w:pPr>
      <w:r>
        <w:rPr>
          <w:sz w:val="20"/>
          <w:szCs w:val="20"/>
        </w:rPr>
        <w:t>Jika uji linearitas dari ketiga variabel, yaitu religiusitas, dukungan sosial, dan kecemasan menghadapi kematian, menunjukkan pembentukan garis lurus terbaik, maka dapat disimpulkan bahwa data yang diperoleh menunjukkan sifat linear.</w:t>
      </w:r>
    </w:p>
    <w:p w:rsidR="001331F3" w:rsidRDefault="001331F3" w:rsidP="001331F3">
      <w:pPr>
        <w:jc w:val="both"/>
        <w:rPr>
          <w:sz w:val="20"/>
          <w:szCs w:val="20"/>
        </w:rPr>
      </w:pPr>
    </w:p>
    <w:p w:rsidR="001331F3" w:rsidRDefault="001331F3" w:rsidP="001331F3">
      <w:pPr>
        <w:jc w:val="both"/>
        <w:rPr>
          <w:b/>
          <w:sz w:val="20"/>
          <w:szCs w:val="20"/>
        </w:rPr>
      </w:pPr>
      <w:r>
        <w:rPr>
          <w:b/>
          <w:sz w:val="20"/>
          <w:szCs w:val="20"/>
        </w:rPr>
        <w:t>c. Uji Multikolenieritas</w:t>
      </w:r>
    </w:p>
    <w:p w:rsidR="001331F3" w:rsidRDefault="001331F3" w:rsidP="001331F3">
      <w:pPr>
        <w:jc w:val="both"/>
        <w:rPr>
          <w:sz w:val="20"/>
          <w:szCs w:val="20"/>
        </w:rPr>
      </w:pPr>
      <w:r>
        <w:rPr>
          <w:sz w:val="20"/>
          <w:szCs w:val="20"/>
        </w:rPr>
        <w:t>Uji multikolinieritas dilakukan untuk menentukan apakah terdapat kesamaan fungsi antara variabel bebas dengan variabel lainnya. Model regresi penelitian dikatakan bebas dari multikolinieritas jika nilai VIF (Variance Inflation Factor) kurang dari 10.00 dan nilai T (Tolerance) lebih dari 10.00. Berikut adalah hasil uji multikolinieritas.</w:t>
      </w:r>
    </w:p>
    <w:p w:rsidR="001331F3" w:rsidRDefault="001331F3" w:rsidP="001331F3"/>
    <w:p w:rsidR="001331F3" w:rsidRDefault="001331F3" w:rsidP="001331F3"/>
    <w:p w:rsidR="001331F3" w:rsidRDefault="001331F3" w:rsidP="001331F3"/>
    <w:p w:rsidR="001331F3" w:rsidRDefault="001331F3" w:rsidP="001331F3"/>
    <w:p w:rsidR="001331F3" w:rsidRDefault="001331F3" w:rsidP="001331F3">
      <w:pPr>
        <w:jc w:val="both"/>
        <w:rPr>
          <w:b/>
          <w:sz w:val="20"/>
          <w:szCs w:val="20"/>
        </w:rPr>
      </w:pPr>
      <w:r>
        <w:rPr>
          <w:b/>
          <w:sz w:val="20"/>
          <w:szCs w:val="20"/>
        </w:rPr>
        <w:t>Tabel 4. Hasil Uji Multikolenieritas</w:t>
      </w:r>
    </w:p>
    <w:p w:rsidR="001331F3" w:rsidRDefault="001331F3" w:rsidP="001331F3">
      <w:pPr>
        <w:jc w:val="both"/>
        <w:rPr>
          <w:b/>
          <w:sz w:val="20"/>
          <w:szCs w:val="20"/>
        </w:rPr>
      </w:pPr>
    </w:p>
    <w:tbl>
      <w:tblPr>
        <w:tblStyle w:val="TableGrid"/>
        <w:tblW w:w="10440" w:type="dxa"/>
        <w:tblBorders>
          <w:left w:val="none" w:sz="0" w:space="0" w:color="auto"/>
          <w:right w:val="none" w:sz="0" w:space="0" w:color="auto"/>
          <w:insideH w:val="none" w:sz="0" w:space="0" w:color="auto"/>
          <w:insideV w:val="none" w:sz="0" w:space="0" w:color="auto"/>
        </w:tblBorders>
        <w:tblLayout w:type="fixed"/>
        <w:tblLook w:val="04A0"/>
      </w:tblPr>
      <w:tblGrid>
        <w:gridCol w:w="1329"/>
        <w:gridCol w:w="1632"/>
        <w:gridCol w:w="817"/>
        <w:gridCol w:w="1088"/>
        <w:gridCol w:w="1088"/>
        <w:gridCol w:w="951"/>
        <w:gridCol w:w="951"/>
        <w:gridCol w:w="1224"/>
        <w:gridCol w:w="1360"/>
      </w:tblGrid>
      <w:tr w:rsidR="001331F3" w:rsidTr="00C464C0">
        <w:trPr>
          <w:trHeight w:val="248"/>
        </w:trPr>
        <w:tc>
          <w:tcPr>
            <w:tcW w:w="1329" w:type="dxa"/>
            <w:tcBorders>
              <w:top w:val="single" w:sz="4" w:space="0" w:color="auto"/>
              <w:bottom w:val="single" w:sz="4" w:space="0" w:color="auto"/>
            </w:tcBorders>
            <w:hideMark/>
          </w:tcPr>
          <w:p w:rsidR="001331F3" w:rsidRDefault="001331F3">
            <w:pPr>
              <w:ind w:right="-10"/>
              <w:rPr>
                <w:rFonts w:ascii="Times New Roman" w:hAnsi="Times New Roman" w:cs="Times New Roman"/>
                <w:b/>
                <w:bCs/>
                <w:sz w:val="20"/>
                <w:szCs w:val="20"/>
              </w:rPr>
            </w:pPr>
            <w:r>
              <w:rPr>
                <w:rFonts w:ascii="Times New Roman" w:hAnsi="Times New Roman" w:cs="Times New Roman"/>
                <w:b/>
                <w:bCs/>
                <w:sz w:val="20"/>
                <w:szCs w:val="20"/>
              </w:rPr>
              <w:t>Coefficients</w:t>
            </w:r>
          </w:p>
        </w:tc>
        <w:tc>
          <w:tcPr>
            <w:tcW w:w="1633" w:type="dxa"/>
            <w:tcBorders>
              <w:top w:val="single" w:sz="4" w:space="0" w:color="auto"/>
              <w:bottom w:val="single" w:sz="4" w:space="0" w:color="auto"/>
            </w:tcBorders>
          </w:tcPr>
          <w:p w:rsidR="001331F3" w:rsidRDefault="001331F3">
            <w:pPr>
              <w:ind w:right="-10"/>
              <w:rPr>
                <w:rFonts w:ascii="Times New Roman" w:hAnsi="Times New Roman" w:cs="Times New Roman"/>
                <w:b/>
                <w:bCs/>
                <w:sz w:val="20"/>
                <w:szCs w:val="20"/>
              </w:rPr>
            </w:pPr>
          </w:p>
        </w:tc>
        <w:tc>
          <w:tcPr>
            <w:tcW w:w="817" w:type="dxa"/>
            <w:tcBorders>
              <w:top w:val="single" w:sz="4" w:space="0" w:color="auto"/>
              <w:bottom w:val="single" w:sz="4" w:space="0" w:color="auto"/>
            </w:tcBorders>
          </w:tcPr>
          <w:p w:rsidR="001331F3" w:rsidRDefault="001331F3">
            <w:pPr>
              <w:ind w:right="-10"/>
              <w:rPr>
                <w:rFonts w:ascii="Times New Roman" w:hAnsi="Times New Roman" w:cs="Times New Roman"/>
                <w:b/>
                <w:bCs/>
                <w:sz w:val="20"/>
                <w:szCs w:val="20"/>
              </w:rPr>
            </w:pPr>
          </w:p>
        </w:tc>
        <w:tc>
          <w:tcPr>
            <w:tcW w:w="1089" w:type="dxa"/>
            <w:tcBorders>
              <w:top w:val="single" w:sz="4" w:space="0" w:color="auto"/>
              <w:bottom w:val="single" w:sz="4" w:space="0" w:color="auto"/>
            </w:tcBorders>
          </w:tcPr>
          <w:p w:rsidR="001331F3" w:rsidRDefault="001331F3">
            <w:pPr>
              <w:ind w:right="-10"/>
              <w:rPr>
                <w:rFonts w:ascii="Times New Roman" w:hAnsi="Times New Roman" w:cs="Times New Roman"/>
                <w:b/>
                <w:bCs/>
                <w:sz w:val="20"/>
                <w:szCs w:val="20"/>
              </w:rPr>
            </w:pPr>
          </w:p>
        </w:tc>
        <w:tc>
          <w:tcPr>
            <w:tcW w:w="1089" w:type="dxa"/>
            <w:tcBorders>
              <w:top w:val="single" w:sz="4" w:space="0" w:color="auto"/>
              <w:bottom w:val="single" w:sz="4" w:space="0" w:color="auto"/>
            </w:tcBorders>
          </w:tcPr>
          <w:p w:rsidR="001331F3" w:rsidRDefault="001331F3">
            <w:pPr>
              <w:ind w:right="-10"/>
              <w:rPr>
                <w:rFonts w:ascii="Times New Roman" w:hAnsi="Times New Roman" w:cs="Times New Roman"/>
                <w:b/>
                <w:bCs/>
                <w:sz w:val="20"/>
                <w:szCs w:val="20"/>
              </w:rPr>
            </w:pPr>
          </w:p>
        </w:tc>
        <w:tc>
          <w:tcPr>
            <w:tcW w:w="952" w:type="dxa"/>
            <w:tcBorders>
              <w:top w:val="single" w:sz="4" w:space="0" w:color="auto"/>
              <w:bottom w:val="single" w:sz="4" w:space="0" w:color="auto"/>
            </w:tcBorders>
          </w:tcPr>
          <w:p w:rsidR="001331F3" w:rsidRDefault="001331F3">
            <w:pPr>
              <w:ind w:right="-10"/>
              <w:rPr>
                <w:rFonts w:ascii="Times New Roman" w:hAnsi="Times New Roman" w:cs="Times New Roman"/>
                <w:b/>
                <w:bCs/>
                <w:sz w:val="20"/>
                <w:szCs w:val="20"/>
              </w:rPr>
            </w:pPr>
          </w:p>
        </w:tc>
        <w:tc>
          <w:tcPr>
            <w:tcW w:w="952" w:type="dxa"/>
            <w:tcBorders>
              <w:top w:val="single" w:sz="4" w:space="0" w:color="auto"/>
              <w:bottom w:val="single" w:sz="4" w:space="0" w:color="auto"/>
            </w:tcBorders>
          </w:tcPr>
          <w:p w:rsidR="001331F3" w:rsidRDefault="001331F3">
            <w:pPr>
              <w:ind w:right="-10"/>
              <w:rPr>
                <w:rFonts w:ascii="Times New Roman" w:hAnsi="Times New Roman" w:cs="Times New Roman"/>
                <w:b/>
                <w:bCs/>
                <w:sz w:val="20"/>
                <w:szCs w:val="20"/>
              </w:rPr>
            </w:pPr>
          </w:p>
        </w:tc>
        <w:tc>
          <w:tcPr>
            <w:tcW w:w="1225" w:type="dxa"/>
            <w:tcBorders>
              <w:top w:val="single" w:sz="4" w:space="0" w:color="auto"/>
              <w:bottom w:val="single" w:sz="4" w:space="0" w:color="auto"/>
            </w:tcBorders>
          </w:tcPr>
          <w:p w:rsidR="001331F3" w:rsidRDefault="001331F3">
            <w:pPr>
              <w:ind w:right="-10"/>
              <w:rPr>
                <w:rFonts w:ascii="Times New Roman" w:hAnsi="Times New Roman" w:cs="Times New Roman"/>
                <w:b/>
                <w:bCs/>
                <w:sz w:val="20"/>
                <w:szCs w:val="20"/>
              </w:rPr>
            </w:pPr>
          </w:p>
        </w:tc>
        <w:tc>
          <w:tcPr>
            <w:tcW w:w="1361" w:type="dxa"/>
            <w:tcBorders>
              <w:top w:val="single" w:sz="4" w:space="0" w:color="auto"/>
              <w:bottom w:val="single" w:sz="4" w:space="0" w:color="auto"/>
            </w:tcBorders>
          </w:tcPr>
          <w:p w:rsidR="001331F3" w:rsidRDefault="001331F3">
            <w:pPr>
              <w:ind w:right="-10"/>
              <w:rPr>
                <w:rFonts w:ascii="Times New Roman" w:hAnsi="Times New Roman" w:cs="Times New Roman"/>
                <w:b/>
                <w:bCs/>
                <w:sz w:val="20"/>
                <w:szCs w:val="20"/>
              </w:rPr>
            </w:pPr>
          </w:p>
        </w:tc>
      </w:tr>
      <w:tr w:rsidR="001331F3" w:rsidTr="00C464C0">
        <w:trPr>
          <w:trHeight w:val="513"/>
        </w:trPr>
        <w:tc>
          <w:tcPr>
            <w:tcW w:w="1329" w:type="dxa"/>
            <w:tcBorders>
              <w:top w:val="single" w:sz="4" w:space="0" w:color="auto"/>
            </w:tcBorders>
          </w:tcPr>
          <w:p w:rsidR="001331F3" w:rsidRDefault="001331F3">
            <w:pPr>
              <w:ind w:right="-10"/>
              <w:rPr>
                <w:rFonts w:ascii="Times New Roman" w:hAnsi="Times New Roman" w:cs="Times New Roman"/>
                <w:b/>
                <w:bCs/>
                <w:sz w:val="20"/>
                <w:szCs w:val="20"/>
              </w:rPr>
            </w:pPr>
          </w:p>
        </w:tc>
        <w:tc>
          <w:tcPr>
            <w:tcW w:w="1633" w:type="dxa"/>
            <w:tcBorders>
              <w:top w:val="single" w:sz="4" w:space="0" w:color="auto"/>
            </w:tcBorders>
          </w:tcPr>
          <w:p w:rsidR="001331F3" w:rsidRDefault="001331F3">
            <w:pPr>
              <w:ind w:right="-10"/>
              <w:rPr>
                <w:rFonts w:ascii="Times New Roman" w:hAnsi="Times New Roman" w:cs="Times New Roman"/>
                <w:b/>
                <w:bCs/>
                <w:sz w:val="20"/>
                <w:szCs w:val="20"/>
              </w:rPr>
            </w:pPr>
          </w:p>
        </w:tc>
        <w:tc>
          <w:tcPr>
            <w:tcW w:w="817" w:type="dxa"/>
            <w:tcBorders>
              <w:top w:val="single" w:sz="4" w:space="0" w:color="auto"/>
            </w:tcBorders>
          </w:tcPr>
          <w:p w:rsidR="001331F3" w:rsidRDefault="001331F3">
            <w:pPr>
              <w:ind w:right="-10"/>
              <w:rPr>
                <w:rFonts w:ascii="Times New Roman" w:hAnsi="Times New Roman" w:cs="Times New Roman"/>
                <w:b/>
                <w:bCs/>
                <w:sz w:val="20"/>
                <w:szCs w:val="20"/>
              </w:rPr>
            </w:pPr>
          </w:p>
        </w:tc>
        <w:tc>
          <w:tcPr>
            <w:tcW w:w="1089" w:type="dxa"/>
            <w:tcBorders>
              <w:top w:val="single" w:sz="4" w:space="0" w:color="auto"/>
            </w:tcBorders>
          </w:tcPr>
          <w:p w:rsidR="001331F3" w:rsidRDefault="001331F3">
            <w:pPr>
              <w:ind w:right="-10"/>
              <w:rPr>
                <w:rFonts w:ascii="Times New Roman" w:hAnsi="Times New Roman" w:cs="Times New Roman"/>
                <w:b/>
                <w:bCs/>
                <w:sz w:val="20"/>
                <w:szCs w:val="20"/>
              </w:rPr>
            </w:pPr>
          </w:p>
        </w:tc>
        <w:tc>
          <w:tcPr>
            <w:tcW w:w="1089" w:type="dxa"/>
            <w:tcBorders>
              <w:top w:val="single" w:sz="4" w:space="0" w:color="auto"/>
            </w:tcBorders>
          </w:tcPr>
          <w:p w:rsidR="001331F3" w:rsidRDefault="001331F3">
            <w:pPr>
              <w:ind w:right="-10"/>
              <w:rPr>
                <w:rFonts w:ascii="Times New Roman" w:hAnsi="Times New Roman" w:cs="Times New Roman"/>
                <w:b/>
                <w:bCs/>
                <w:sz w:val="20"/>
                <w:szCs w:val="20"/>
              </w:rPr>
            </w:pPr>
          </w:p>
        </w:tc>
        <w:tc>
          <w:tcPr>
            <w:tcW w:w="952" w:type="dxa"/>
            <w:tcBorders>
              <w:top w:val="single" w:sz="4" w:space="0" w:color="auto"/>
            </w:tcBorders>
          </w:tcPr>
          <w:p w:rsidR="001331F3" w:rsidRDefault="001331F3">
            <w:pPr>
              <w:ind w:right="-10"/>
              <w:rPr>
                <w:rFonts w:ascii="Times New Roman" w:hAnsi="Times New Roman" w:cs="Times New Roman"/>
                <w:b/>
                <w:bCs/>
                <w:sz w:val="20"/>
                <w:szCs w:val="20"/>
              </w:rPr>
            </w:pPr>
          </w:p>
        </w:tc>
        <w:tc>
          <w:tcPr>
            <w:tcW w:w="952" w:type="dxa"/>
            <w:tcBorders>
              <w:top w:val="single" w:sz="4" w:space="0" w:color="auto"/>
            </w:tcBorders>
          </w:tcPr>
          <w:p w:rsidR="001331F3" w:rsidRDefault="001331F3">
            <w:pPr>
              <w:ind w:right="-10"/>
              <w:rPr>
                <w:rFonts w:ascii="Times New Roman" w:hAnsi="Times New Roman" w:cs="Times New Roman"/>
                <w:b/>
                <w:bCs/>
                <w:sz w:val="20"/>
                <w:szCs w:val="20"/>
              </w:rPr>
            </w:pPr>
          </w:p>
        </w:tc>
        <w:tc>
          <w:tcPr>
            <w:tcW w:w="1225" w:type="dxa"/>
            <w:tcBorders>
              <w:top w:val="single" w:sz="4" w:space="0" w:color="auto"/>
            </w:tcBorders>
          </w:tcPr>
          <w:p w:rsidR="001331F3" w:rsidRDefault="001331F3">
            <w:pPr>
              <w:ind w:right="-10"/>
              <w:rPr>
                <w:rFonts w:ascii="Times New Roman" w:hAnsi="Times New Roman" w:cs="Times New Roman"/>
                <w:b/>
                <w:bCs/>
                <w:sz w:val="20"/>
                <w:szCs w:val="20"/>
              </w:rPr>
            </w:pPr>
          </w:p>
        </w:tc>
        <w:tc>
          <w:tcPr>
            <w:tcW w:w="1361" w:type="dxa"/>
            <w:tcBorders>
              <w:top w:val="single" w:sz="4" w:space="0" w:color="auto"/>
            </w:tcBorders>
            <w:hideMark/>
          </w:tcPr>
          <w:p w:rsidR="001331F3" w:rsidRDefault="001331F3">
            <w:pPr>
              <w:ind w:right="-10"/>
              <w:rPr>
                <w:rFonts w:ascii="Times New Roman" w:hAnsi="Times New Roman" w:cs="Times New Roman"/>
                <w:b/>
                <w:bCs/>
                <w:sz w:val="20"/>
                <w:szCs w:val="20"/>
              </w:rPr>
            </w:pPr>
            <w:r>
              <w:rPr>
                <w:rFonts w:ascii="Times New Roman" w:hAnsi="Times New Roman" w:cs="Times New Roman"/>
                <w:b/>
                <w:bCs/>
                <w:sz w:val="20"/>
                <w:szCs w:val="20"/>
              </w:rPr>
              <w:t>Collinearity Statistics</w:t>
            </w:r>
          </w:p>
        </w:tc>
      </w:tr>
      <w:tr w:rsidR="001331F3" w:rsidTr="00C464C0">
        <w:trPr>
          <w:trHeight w:val="778"/>
        </w:trPr>
        <w:tc>
          <w:tcPr>
            <w:tcW w:w="1329" w:type="dxa"/>
            <w:vAlign w:val="center"/>
            <w:hideMark/>
          </w:tcPr>
          <w:p w:rsidR="001331F3" w:rsidRDefault="001331F3">
            <w:pPr>
              <w:jc w:val="center"/>
              <w:rPr>
                <w:rFonts w:ascii="Times New Roman" w:hAnsi="Times New Roman" w:cs="Times New Roman"/>
                <w:b/>
                <w:bCs/>
                <w:sz w:val="20"/>
                <w:szCs w:val="20"/>
              </w:rPr>
            </w:pPr>
            <w:r>
              <w:rPr>
                <w:rFonts w:ascii="Times New Roman" w:hAnsi="Times New Roman" w:cs="Times New Roman"/>
                <w:b/>
                <w:bCs/>
                <w:sz w:val="20"/>
                <w:szCs w:val="20"/>
              </w:rPr>
              <w:t>Model</w:t>
            </w:r>
          </w:p>
        </w:tc>
        <w:tc>
          <w:tcPr>
            <w:tcW w:w="1633" w:type="dxa"/>
            <w:vAlign w:val="center"/>
            <w:hideMark/>
          </w:tcPr>
          <w:p w:rsidR="001331F3" w:rsidRDefault="001331F3">
            <w:pPr>
              <w:jc w:val="center"/>
              <w:rPr>
                <w:rFonts w:ascii="Times New Roman" w:hAnsi="Times New Roman" w:cs="Times New Roman"/>
                <w:b/>
                <w:bCs/>
                <w:sz w:val="20"/>
                <w:szCs w:val="20"/>
              </w:rPr>
            </w:pPr>
            <w:r>
              <w:rPr>
                <w:rFonts w:ascii="Times New Roman" w:hAnsi="Times New Roman" w:cs="Times New Roman"/>
                <w:b/>
                <w:bCs/>
                <w:sz w:val="20"/>
                <w:szCs w:val="20"/>
              </w:rPr>
              <w:t> </w:t>
            </w:r>
          </w:p>
        </w:tc>
        <w:tc>
          <w:tcPr>
            <w:tcW w:w="817" w:type="dxa"/>
            <w:vAlign w:val="center"/>
            <w:hideMark/>
          </w:tcPr>
          <w:p w:rsidR="001331F3" w:rsidRDefault="001331F3">
            <w:pPr>
              <w:jc w:val="center"/>
              <w:rPr>
                <w:rFonts w:ascii="Times New Roman" w:hAnsi="Times New Roman" w:cs="Times New Roman"/>
                <w:b/>
                <w:bCs/>
                <w:sz w:val="20"/>
                <w:szCs w:val="20"/>
              </w:rPr>
            </w:pPr>
            <w:r>
              <w:rPr>
                <w:rFonts w:ascii="Times New Roman" w:hAnsi="Times New Roman" w:cs="Times New Roman"/>
                <w:b/>
                <w:bCs/>
                <w:sz w:val="20"/>
                <w:szCs w:val="20"/>
              </w:rPr>
              <w:t>Unstandardized</w:t>
            </w:r>
          </w:p>
        </w:tc>
        <w:tc>
          <w:tcPr>
            <w:tcW w:w="1089" w:type="dxa"/>
            <w:vAlign w:val="center"/>
            <w:hideMark/>
          </w:tcPr>
          <w:p w:rsidR="001331F3" w:rsidRDefault="001331F3">
            <w:pPr>
              <w:jc w:val="center"/>
              <w:rPr>
                <w:rFonts w:ascii="Times New Roman" w:hAnsi="Times New Roman" w:cs="Times New Roman"/>
                <w:b/>
                <w:bCs/>
                <w:sz w:val="20"/>
                <w:szCs w:val="20"/>
              </w:rPr>
            </w:pPr>
            <w:r>
              <w:rPr>
                <w:rFonts w:ascii="Times New Roman" w:hAnsi="Times New Roman" w:cs="Times New Roman"/>
                <w:b/>
                <w:bCs/>
                <w:sz w:val="20"/>
                <w:szCs w:val="20"/>
              </w:rPr>
              <w:t>Standard Error</w:t>
            </w:r>
          </w:p>
        </w:tc>
        <w:tc>
          <w:tcPr>
            <w:tcW w:w="1089" w:type="dxa"/>
            <w:vAlign w:val="center"/>
            <w:hideMark/>
          </w:tcPr>
          <w:p w:rsidR="001331F3" w:rsidRDefault="001331F3">
            <w:pPr>
              <w:jc w:val="center"/>
              <w:rPr>
                <w:rFonts w:ascii="Times New Roman" w:hAnsi="Times New Roman" w:cs="Times New Roman"/>
                <w:b/>
                <w:bCs/>
                <w:sz w:val="20"/>
                <w:szCs w:val="20"/>
              </w:rPr>
            </w:pPr>
            <w:r>
              <w:rPr>
                <w:rFonts w:ascii="Times New Roman" w:hAnsi="Times New Roman" w:cs="Times New Roman"/>
                <w:b/>
                <w:bCs/>
                <w:sz w:val="20"/>
                <w:szCs w:val="20"/>
              </w:rPr>
              <w:t>Standardized</w:t>
            </w:r>
          </w:p>
        </w:tc>
        <w:tc>
          <w:tcPr>
            <w:tcW w:w="952" w:type="dxa"/>
            <w:vAlign w:val="center"/>
            <w:hideMark/>
          </w:tcPr>
          <w:p w:rsidR="001331F3" w:rsidRDefault="001331F3">
            <w:pPr>
              <w:jc w:val="center"/>
              <w:rPr>
                <w:rFonts w:ascii="Times New Roman" w:hAnsi="Times New Roman" w:cs="Times New Roman"/>
                <w:b/>
                <w:bCs/>
                <w:sz w:val="20"/>
                <w:szCs w:val="20"/>
              </w:rPr>
            </w:pPr>
            <w:r>
              <w:rPr>
                <w:rFonts w:ascii="Times New Roman" w:hAnsi="Times New Roman" w:cs="Times New Roman"/>
                <w:b/>
                <w:bCs/>
                <w:sz w:val="20"/>
                <w:szCs w:val="20"/>
              </w:rPr>
              <w:t>T</w:t>
            </w:r>
          </w:p>
        </w:tc>
        <w:tc>
          <w:tcPr>
            <w:tcW w:w="952" w:type="dxa"/>
            <w:vAlign w:val="center"/>
            <w:hideMark/>
          </w:tcPr>
          <w:p w:rsidR="001331F3" w:rsidRDefault="001331F3">
            <w:pPr>
              <w:jc w:val="center"/>
              <w:rPr>
                <w:rFonts w:ascii="Times New Roman" w:hAnsi="Times New Roman" w:cs="Times New Roman"/>
                <w:b/>
                <w:bCs/>
                <w:sz w:val="20"/>
                <w:szCs w:val="20"/>
              </w:rPr>
            </w:pPr>
            <w:r>
              <w:rPr>
                <w:rFonts w:ascii="Times New Roman" w:hAnsi="Times New Roman" w:cs="Times New Roman"/>
                <w:b/>
                <w:bCs/>
                <w:sz w:val="20"/>
                <w:szCs w:val="20"/>
              </w:rPr>
              <w:t>p</w:t>
            </w:r>
          </w:p>
        </w:tc>
        <w:tc>
          <w:tcPr>
            <w:tcW w:w="1225" w:type="dxa"/>
            <w:vAlign w:val="center"/>
            <w:hideMark/>
          </w:tcPr>
          <w:p w:rsidR="001331F3" w:rsidRDefault="001331F3">
            <w:pPr>
              <w:jc w:val="center"/>
              <w:rPr>
                <w:rFonts w:ascii="Times New Roman" w:hAnsi="Times New Roman" w:cs="Times New Roman"/>
                <w:b/>
                <w:bCs/>
                <w:sz w:val="20"/>
                <w:szCs w:val="20"/>
              </w:rPr>
            </w:pPr>
            <w:r>
              <w:rPr>
                <w:rFonts w:ascii="Times New Roman" w:hAnsi="Times New Roman" w:cs="Times New Roman"/>
                <w:b/>
                <w:bCs/>
                <w:sz w:val="20"/>
                <w:szCs w:val="20"/>
              </w:rPr>
              <w:t>Tolerance</w:t>
            </w:r>
          </w:p>
        </w:tc>
        <w:tc>
          <w:tcPr>
            <w:tcW w:w="1361" w:type="dxa"/>
            <w:vAlign w:val="center"/>
            <w:hideMark/>
          </w:tcPr>
          <w:p w:rsidR="001331F3" w:rsidRDefault="001331F3">
            <w:pPr>
              <w:jc w:val="center"/>
              <w:rPr>
                <w:rFonts w:ascii="Times New Roman" w:hAnsi="Times New Roman" w:cs="Times New Roman"/>
                <w:b/>
                <w:bCs/>
                <w:sz w:val="20"/>
                <w:szCs w:val="20"/>
              </w:rPr>
            </w:pPr>
            <w:r>
              <w:rPr>
                <w:rFonts w:ascii="Times New Roman" w:hAnsi="Times New Roman" w:cs="Times New Roman"/>
                <w:b/>
                <w:bCs/>
                <w:sz w:val="20"/>
                <w:szCs w:val="20"/>
              </w:rPr>
              <w:t>VIF</w:t>
            </w:r>
          </w:p>
        </w:tc>
      </w:tr>
      <w:tr w:rsidR="001331F3" w:rsidTr="00C464C0">
        <w:trPr>
          <w:trHeight w:val="283"/>
        </w:trPr>
        <w:tc>
          <w:tcPr>
            <w:tcW w:w="1329" w:type="dxa"/>
            <w:hideMark/>
          </w:tcPr>
          <w:p w:rsidR="001331F3" w:rsidRDefault="001331F3">
            <w:pPr>
              <w:ind w:right="-10"/>
              <w:rPr>
                <w:rFonts w:ascii="Times New Roman" w:hAnsi="Times New Roman" w:cs="Times New Roman"/>
                <w:b/>
                <w:bCs/>
                <w:sz w:val="20"/>
                <w:szCs w:val="20"/>
              </w:rPr>
            </w:pPr>
            <w:r>
              <w:rPr>
                <w:rFonts w:ascii="Times New Roman" w:hAnsi="Times New Roman" w:cs="Times New Roman"/>
                <w:sz w:val="20"/>
                <w:szCs w:val="20"/>
              </w:rPr>
              <w:t>H</w:t>
            </w:r>
            <w:r>
              <w:rPr>
                <w:rFonts w:ascii="Times New Roman" w:hAnsi="Cambria Math" w:cs="Times New Roman"/>
                <w:sz w:val="20"/>
                <w:szCs w:val="20"/>
              </w:rPr>
              <w:t>₀</w:t>
            </w:r>
          </w:p>
        </w:tc>
        <w:tc>
          <w:tcPr>
            <w:tcW w:w="1633" w:type="dxa"/>
            <w:vAlign w:val="center"/>
            <w:hideMark/>
          </w:tcPr>
          <w:p w:rsidR="001331F3" w:rsidRDefault="001331F3">
            <w:pPr>
              <w:rPr>
                <w:rFonts w:ascii="Times New Roman" w:hAnsi="Times New Roman" w:cs="Times New Roman"/>
                <w:sz w:val="20"/>
                <w:szCs w:val="20"/>
              </w:rPr>
            </w:pPr>
            <w:r>
              <w:rPr>
                <w:rFonts w:ascii="Times New Roman" w:hAnsi="Times New Roman" w:cs="Times New Roman"/>
                <w:sz w:val="20"/>
                <w:szCs w:val="20"/>
              </w:rPr>
              <w:t>(Intercept)</w:t>
            </w:r>
          </w:p>
        </w:tc>
        <w:tc>
          <w:tcPr>
            <w:tcW w:w="817" w:type="dxa"/>
            <w:vAlign w:val="center"/>
            <w:hideMark/>
          </w:tcPr>
          <w:p w:rsidR="001331F3" w:rsidRDefault="001331F3">
            <w:pPr>
              <w:jc w:val="right"/>
              <w:rPr>
                <w:rFonts w:ascii="Times New Roman" w:hAnsi="Times New Roman" w:cs="Times New Roman"/>
                <w:sz w:val="20"/>
                <w:szCs w:val="20"/>
              </w:rPr>
            </w:pPr>
            <w:r>
              <w:rPr>
                <w:rFonts w:ascii="Times New Roman" w:hAnsi="Times New Roman" w:cs="Times New Roman"/>
                <w:sz w:val="20"/>
                <w:szCs w:val="20"/>
              </w:rPr>
              <w:t>53.090</w:t>
            </w:r>
          </w:p>
        </w:tc>
        <w:tc>
          <w:tcPr>
            <w:tcW w:w="1089" w:type="dxa"/>
            <w:vAlign w:val="center"/>
            <w:hideMark/>
          </w:tcPr>
          <w:p w:rsidR="001331F3" w:rsidRDefault="001331F3">
            <w:pPr>
              <w:jc w:val="right"/>
              <w:rPr>
                <w:rFonts w:ascii="Times New Roman" w:hAnsi="Times New Roman" w:cs="Times New Roman"/>
                <w:sz w:val="20"/>
                <w:szCs w:val="20"/>
              </w:rPr>
            </w:pPr>
            <w:r>
              <w:rPr>
                <w:rFonts w:ascii="Times New Roman" w:hAnsi="Times New Roman" w:cs="Times New Roman"/>
                <w:sz w:val="20"/>
                <w:szCs w:val="20"/>
              </w:rPr>
              <w:t>0.484</w:t>
            </w:r>
          </w:p>
        </w:tc>
        <w:tc>
          <w:tcPr>
            <w:tcW w:w="1089" w:type="dxa"/>
          </w:tcPr>
          <w:p w:rsidR="001331F3" w:rsidRDefault="001331F3">
            <w:pPr>
              <w:ind w:right="-10"/>
              <w:rPr>
                <w:rFonts w:ascii="Times New Roman" w:hAnsi="Times New Roman" w:cs="Times New Roman"/>
                <w:b/>
                <w:bCs/>
                <w:sz w:val="20"/>
                <w:szCs w:val="20"/>
              </w:rPr>
            </w:pPr>
          </w:p>
        </w:tc>
        <w:tc>
          <w:tcPr>
            <w:tcW w:w="952" w:type="dxa"/>
            <w:vAlign w:val="center"/>
            <w:hideMark/>
          </w:tcPr>
          <w:p w:rsidR="001331F3" w:rsidRDefault="001331F3">
            <w:pPr>
              <w:jc w:val="right"/>
              <w:rPr>
                <w:rFonts w:ascii="Times New Roman" w:hAnsi="Times New Roman" w:cs="Times New Roman"/>
                <w:sz w:val="20"/>
                <w:szCs w:val="20"/>
              </w:rPr>
            </w:pPr>
            <w:r>
              <w:rPr>
                <w:rFonts w:ascii="Times New Roman" w:hAnsi="Times New Roman" w:cs="Times New Roman"/>
                <w:sz w:val="20"/>
                <w:szCs w:val="20"/>
              </w:rPr>
              <w:t>109.712</w:t>
            </w:r>
          </w:p>
        </w:tc>
        <w:tc>
          <w:tcPr>
            <w:tcW w:w="952" w:type="dxa"/>
            <w:vAlign w:val="center"/>
            <w:hideMark/>
          </w:tcPr>
          <w:p w:rsidR="001331F3" w:rsidRDefault="001331F3">
            <w:pPr>
              <w:jc w:val="right"/>
              <w:rPr>
                <w:rFonts w:ascii="Times New Roman" w:hAnsi="Times New Roman" w:cs="Times New Roman"/>
                <w:sz w:val="20"/>
                <w:szCs w:val="20"/>
              </w:rPr>
            </w:pPr>
            <w:r>
              <w:rPr>
                <w:rFonts w:ascii="Times New Roman" w:hAnsi="Times New Roman" w:cs="Times New Roman"/>
                <w:sz w:val="20"/>
                <w:szCs w:val="20"/>
              </w:rPr>
              <w:t>&lt; .001</w:t>
            </w:r>
          </w:p>
        </w:tc>
        <w:tc>
          <w:tcPr>
            <w:tcW w:w="1225" w:type="dxa"/>
          </w:tcPr>
          <w:p w:rsidR="001331F3" w:rsidRDefault="001331F3">
            <w:pPr>
              <w:ind w:right="-10"/>
              <w:rPr>
                <w:rFonts w:ascii="Times New Roman" w:hAnsi="Times New Roman" w:cs="Times New Roman"/>
                <w:b/>
                <w:bCs/>
                <w:sz w:val="20"/>
                <w:szCs w:val="20"/>
              </w:rPr>
            </w:pPr>
          </w:p>
        </w:tc>
        <w:tc>
          <w:tcPr>
            <w:tcW w:w="1361" w:type="dxa"/>
          </w:tcPr>
          <w:p w:rsidR="001331F3" w:rsidRDefault="001331F3">
            <w:pPr>
              <w:ind w:right="-10"/>
              <w:rPr>
                <w:rFonts w:ascii="Times New Roman" w:hAnsi="Times New Roman" w:cs="Times New Roman"/>
                <w:b/>
                <w:bCs/>
                <w:sz w:val="20"/>
                <w:szCs w:val="20"/>
              </w:rPr>
            </w:pPr>
          </w:p>
        </w:tc>
      </w:tr>
      <w:tr w:rsidR="001331F3" w:rsidTr="00C464C0">
        <w:trPr>
          <w:trHeight w:val="283"/>
        </w:trPr>
        <w:tc>
          <w:tcPr>
            <w:tcW w:w="1329" w:type="dxa"/>
            <w:hideMark/>
          </w:tcPr>
          <w:p w:rsidR="001331F3" w:rsidRDefault="001331F3">
            <w:pPr>
              <w:ind w:right="-10"/>
              <w:rPr>
                <w:rFonts w:ascii="Times New Roman" w:hAnsi="Times New Roman" w:cs="Times New Roman"/>
                <w:b/>
                <w:bCs/>
                <w:sz w:val="20"/>
                <w:szCs w:val="20"/>
              </w:rPr>
            </w:pPr>
            <w:r>
              <w:rPr>
                <w:rFonts w:ascii="Times New Roman" w:hAnsi="Times New Roman" w:cs="Times New Roman"/>
                <w:sz w:val="20"/>
                <w:szCs w:val="20"/>
              </w:rPr>
              <w:t>H</w:t>
            </w:r>
            <w:r>
              <w:rPr>
                <w:rFonts w:ascii="Cambria Math" w:hAnsi="Cambria Math" w:cs="Times New Roman"/>
                <w:sz w:val="20"/>
                <w:szCs w:val="20"/>
              </w:rPr>
              <w:t>₁</w:t>
            </w:r>
          </w:p>
        </w:tc>
        <w:tc>
          <w:tcPr>
            <w:tcW w:w="1633" w:type="dxa"/>
            <w:vAlign w:val="center"/>
            <w:hideMark/>
          </w:tcPr>
          <w:p w:rsidR="001331F3" w:rsidRDefault="001331F3">
            <w:pPr>
              <w:rPr>
                <w:rFonts w:ascii="Times New Roman" w:hAnsi="Times New Roman" w:cs="Times New Roman"/>
                <w:sz w:val="20"/>
                <w:szCs w:val="20"/>
              </w:rPr>
            </w:pPr>
            <w:r>
              <w:rPr>
                <w:rFonts w:ascii="Times New Roman" w:hAnsi="Times New Roman" w:cs="Times New Roman"/>
                <w:sz w:val="20"/>
                <w:szCs w:val="20"/>
              </w:rPr>
              <w:t>(Intercept)</w:t>
            </w:r>
          </w:p>
        </w:tc>
        <w:tc>
          <w:tcPr>
            <w:tcW w:w="817" w:type="dxa"/>
            <w:vAlign w:val="center"/>
            <w:hideMark/>
          </w:tcPr>
          <w:p w:rsidR="001331F3" w:rsidRDefault="001331F3">
            <w:pPr>
              <w:jc w:val="right"/>
              <w:rPr>
                <w:rFonts w:ascii="Times New Roman" w:hAnsi="Times New Roman" w:cs="Times New Roman"/>
                <w:sz w:val="20"/>
                <w:szCs w:val="20"/>
              </w:rPr>
            </w:pPr>
            <w:r>
              <w:rPr>
                <w:rFonts w:ascii="Times New Roman" w:hAnsi="Times New Roman" w:cs="Times New Roman"/>
                <w:sz w:val="20"/>
                <w:szCs w:val="20"/>
              </w:rPr>
              <w:t>86.176</w:t>
            </w:r>
          </w:p>
        </w:tc>
        <w:tc>
          <w:tcPr>
            <w:tcW w:w="1089" w:type="dxa"/>
            <w:vAlign w:val="center"/>
            <w:hideMark/>
          </w:tcPr>
          <w:p w:rsidR="001331F3" w:rsidRDefault="001331F3">
            <w:pPr>
              <w:jc w:val="right"/>
              <w:rPr>
                <w:rFonts w:ascii="Times New Roman" w:hAnsi="Times New Roman" w:cs="Times New Roman"/>
                <w:sz w:val="20"/>
                <w:szCs w:val="20"/>
              </w:rPr>
            </w:pPr>
            <w:r>
              <w:rPr>
                <w:rFonts w:ascii="Times New Roman" w:hAnsi="Times New Roman" w:cs="Times New Roman"/>
                <w:sz w:val="20"/>
                <w:szCs w:val="20"/>
              </w:rPr>
              <w:t>5.597</w:t>
            </w:r>
          </w:p>
        </w:tc>
        <w:tc>
          <w:tcPr>
            <w:tcW w:w="1089" w:type="dxa"/>
          </w:tcPr>
          <w:p w:rsidR="001331F3" w:rsidRDefault="001331F3">
            <w:pPr>
              <w:ind w:right="-10"/>
              <w:rPr>
                <w:rFonts w:ascii="Times New Roman" w:hAnsi="Times New Roman" w:cs="Times New Roman"/>
                <w:b/>
                <w:bCs/>
                <w:sz w:val="20"/>
                <w:szCs w:val="20"/>
              </w:rPr>
            </w:pPr>
          </w:p>
        </w:tc>
        <w:tc>
          <w:tcPr>
            <w:tcW w:w="952" w:type="dxa"/>
            <w:vAlign w:val="center"/>
            <w:hideMark/>
          </w:tcPr>
          <w:p w:rsidR="001331F3" w:rsidRDefault="001331F3">
            <w:pPr>
              <w:jc w:val="right"/>
              <w:rPr>
                <w:rFonts w:ascii="Times New Roman" w:hAnsi="Times New Roman" w:cs="Times New Roman"/>
                <w:sz w:val="20"/>
                <w:szCs w:val="20"/>
              </w:rPr>
            </w:pPr>
            <w:r>
              <w:rPr>
                <w:rFonts w:ascii="Times New Roman" w:hAnsi="Times New Roman" w:cs="Times New Roman"/>
                <w:sz w:val="20"/>
                <w:szCs w:val="20"/>
              </w:rPr>
              <w:t>15.398</w:t>
            </w:r>
          </w:p>
        </w:tc>
        <w:tc>
          <w:tcPr>
            <w:tcW w:w="952" w:type="dxa"/>
            <w:vAlign w:val="center"/>
            <w:hideMark/>
          </w:tcPr>
          <w:p w:rsidR="001331F3" w:rsidRDefault="001331F3">
            <w:pPr>
              <w:jc w:val="right"/>
              <w:rPr>
                <w:rFonts w:ascii="Times New Roman" w:hAnsi="Times New Roman" w:cs="Times New Roman"/>
                <w:sz w:val="20"/>
                <w:szCs w:val="20"/>
              </w:rPr>
            </w:pPr>
            <w:r>
              <w:rPr>
                <w:rFonts w:ascii="Times New Roman" w:hAnsi="Times New Roman" w:cs="Times New Roman"/>
                <w:sz w:val="20"/>
                <w:szCs w:val="20"/>
              </w:rPr>
              <w:t>&lt; .001</w:t>
            </w:r>
          </w:p>
        </w:tc>
        <w:tc>
          <w:tcPr>
            <w:tcW w:w="1225" w:type="dxa"/>
          </w:tcPr>
          <w:p w:rsidR="001331F3" w:rsidRDefault="001331F3">
            <w:pPr>
              <w:ind w:right="-10"/>
              <w:rPr>
                <w:rFonts w:ascii="Times New Roman" w:hAnsi="Times New Roman" w:cs="Times New Roman"/>
                <w:b/>
                <w:bCs/>
                <w:sz w:val="20"/>
                <w:szCs w:val="20"/>
              </w:rPr>
            </w:pPr>
          </w:p>
        </w:tc>
        <w:tc>
          <w:tcPr>
            <w:tcW w:w="1361" w:type="dxa"/>
          </w:tcPr>
          <w:p w:rsidR="001331F3" w:rsidRDefault="001331F3">
            <w:pPr>
              <w:ind w:right="-10"/>
              <w:rPr>
                <w:rFonts w:ascii="Times New Roman" w:hAnsi="Times New Roman" w:cs="Times New Roman"/>
                <w:b/>
                <w:bCs/>
                <w:sz w:val="20"/>
                <w:szCs w:val="20"/>
              </w:rPr>
            </w:pPr>
          </w:p>
        </w:tc>
      </w:tr>
      <w:tr w:rsidR="001331F3" w:rsidTr="00C464C0">
        <w:trPr>
          <w:trHeight w:val="265"/>
        </w:trPr>
        <w:tc>
          <w:tcPr>
            <w:tcW w:w="1329" w:type="dxa"/>
          </w:tcPr>
          <w:p w:rsidR="001331F3" w:rsidRDefault="001331F3">
            <w:pPr>
              <w:ind w:right="-10"/>
              <w:rPr>
                <w:rFonts w:ascii="Times New Roman" w:hAnsi="Times New Roman" w:cs="Times New Roman"/>
                <w:b/>
                <w:bCs/>
                <w:sz w:val="20"/>
                <w:szCs w:val="20"/>
              </w:rPr>
            </w:pPr>
          </w:p>
        </w:tc>
        <w:tc>
          <w:tcPr>
            <w:tcW w:w="1633" w:type="dxa"/>
            <w:vAlign w:val="center"/>
            <w:hideMark/>
          </w:tcPr>
          <w:p w:rsidR="001331F3" w:rsidRDefault="001331F3">
            <w:pPr>
              <w:rPr>
                <w:rFonts w:ascii="Times New Roman" w:hAnsi="Times New Roman" w:cs="Times New Roman"/>
                <w:sz w:val="20"/>
                <w:szCs w:val="20"/>
              </w:rPr>
            </w:pPr>
            <w:r>
              <w:rPr>
                <w:rFonts w:ascii="Times New Roman" w:hAnsi="Times New Roman" w:cs="Times New Roman"/>
                <w:sz w:val="20"/>
                <w:szCs w:val="20"/>
              </w:rPr>
              <w:t>Religiusitas</w:t>
            </w:r>
          </w:p>
        </w:tc>
        <w:tc>
          <w:tcPr>
            <w:tcW w:w="817" w:type="dxa"/>
            <w:vAlign w:val="center"/>
            <w:hideMark/>
          </w:tcPr>
          <w:p w:rsidR="001331F3" w:rsidRDefault="001331F3">
            <w:pPr>
              <w:jc w:val="right"/>
              <w:rPr>
                <w:rFonts w:ascii="Times New Roman" w:hAnsi="Times New Roman" w:cs="Times New Roman"/>
                <w:sz w:val="20"/>
                <w:szCs w:val="20"/>
              </w:rPr>
            </w:pPr>
            <w:r>
              <w:rPr>
                <w:rFonts w:ascii="Times New Roman" w:hAnsi="Times New Roman" w:cs="Times New Roman"/>
                <w:sz w:val="20"/>
                <w:szCs w:val="20"/>
              </w:rPr>
              <w:t>-0.170</w:t>
            </w:r>
          </w:p>
        </w:tc>
        <w:tc>
          <w:tcPr>
            <w:tcW w:w="1089" w:type="dxa"/>
            <w:vAlign w:val="center"/>
            <w:hideMark/>
          </w:tcPr>
          <w:p w:rsidR="001331F3" w:rsidRDefault="001331F3">
            <w:pPr>
              <w:jc w:val="right"/>
              <w:rPr>
                <w:rFonts w:ascii="Times New Roman" w:hAnsi="Times New Roman" w:cs="Times New Roman"/>
                <w:sz w:val="20"/>
                <w:szCs w:val="20"/>
              </w:rPr>
            </w:pPr>
            <w:r>
              <w:rPr>
                <w:rFonts w:ascii="Times New Roman" w:hAnsi="Times New Roman" w:cs="Times New Roman"/>
                <w:sz w:val="20"/>
                <w:szCs w:val="20"/>
              </w:rPr>
              <w:t>0.048</w:t>
            </w:r>
          </w:p>
        </w:tc>
        <w:tc>
          <w:tcPr>
            <w:tcW w:w="1089" w:type="dxa"/>
            <w:vAlign w:val="center"/>
            <w:hideMark/>
          </w:tcPr>
          <w:p w:rsidR="001331F3" w:rsidRDefault="001331F3">
            <w:pPr>
              <w:jc w:val="right"/>
              <w:rPr>
                <w:rFonts w:ascii="Times New Roman" w:hAnsi="Times New Roman" w:cs="Times New Roman"/>
                <w:sz w:val="20"/>
                <w:szCs w:val="20"/>
              </w:rPr>
            </w:pPr>
            <w:r>
              <w:rPr>
                <w:rFonts w:ascii="Times New Roman" w:hAnsi="Times New Roman" w:cs="Times New Roman"/>
                <w:sz w:val="20"/>
                <w:szCs w:val="20"/>
              </w:rPr>
              <w:t>-0.315</w:t>
            </w:r>
          </w:p>
        </w:tc>
        <w:tc>
          <w:tcPr>
            <w:tcW w:w="952" w:type="dxa"/>
            <w:vAlign w:val="center"/>
            <w:hideMark/>
          </w:tcPr>
          <w:p w:rsidR="001331F3" w:rsidRDefault="001331F3">
            <w:pPr>
              <w:jc w:val="right"/>
              <w:rPr>
                <w:rFonts w:ascii="Times New Roman" w:hAnsi="Times New Roman" w:cs="Times New Roman"/>
                <w:sz w:val="20"/>
                <w:szCs w:val="20"/>
              </w:rPr>
            </w:pPr>
            <w:r>
              <w:rPr>
                <w:rFonts w:ascii="Times New Roman" w:hAnsi="Times New Roman" w:cs="Times New Roman"/>
                <w:sz w:val="20"/>
                <w:szCs w:val="20"/>
              </w:rPr>
              <w:t>-3.543</w:t>
            </w:r>
          </w:p>
        </w:tc>
        <w:tc>
          <w:tcPr>
            <w:tcW w:w="952" w:type="dxa"/>
            <w:vAlign w:val="center"/>
            <w:hideMark/>
          </w:tcPr>
          <w:p w:rsidR="001331F3" w:rsidRDefault="001331F3">
            <w:pPr>
              <w:jc w:val="right"/>
              <w:rPr>
                <w:rFonts w:ascii="Times New Roman" w:hAnsi="Times New Roman" w:cs="Times New Roman"/>
                <w:sz w:val="20"/>
                <w:szCs w:val="20"/>
              </w:rPr>
            </w:pPr>
            <w:r>
              <w:rPr>
                <w:rFonts w:ascii="Times New Roman" w:hAnsi="Times New Roman" w:cs="Times New Roman"/>
                <w:sz w:val="20"/>
                <w:szCs w:val="20"/>
              </w:rPr>
              <w:t>&lt; .001</w:t>
            </w:r>
          </w:p>
        </w:tc>
        <w:tc>
          <w:tcPr>
            <w:tcW w:w="1225" w:type="dxa"/>
            <w:vAlign w:val="center"/>
            <w:hideMark/>
          </w:tcPr>
          <w:p w:rsidR="001331F3" w:rsidRDefault="001331F3">
            <w:pPr>
              <w:jc w:val="right"/>
              <w:rPr>
                <w:rFonts w:ascii="Times New Roman" w:hAnsi="Times New Roman" w:cs="Times New Roman"/>
                <w:sz w:val="20"/>
                <w:szCs w:val="20"/>
              </w:rPr>
            </w:pPr>
            <w:r>
              <w:rPr>
                <w:rFonts w:ascii="Times New Roman" w:hAnsi="Times New Roman" w:cs="Times New Roman"/>
                <w:sz w:val="20"/>
                <w:szCs w:val="20"/>
              </w:rPr>
              <w:t>0.951</w:t>
            </w:r>
          </w:p>
        </w:tc>
        <w:tc>
          <w:tcPr>
            <w:tcW w:w="1361" w:type="dxa"/>
            <w:vAlign w:val="center"/>
            <w:hideMark/>
          </w:tcPr>
          <w:p w:rsidR="001331F3" w:rsidRDefault="001331F3">
            <w:pPr>
              <w:jc w:val="right"/>
              <w:rPr>
                <w:rFonts w:ascii="Times New Roman" w:hAnsi="Times New Roman" w:cs="Times New Roman"/>
                <w:sz w:val="20"/>
                <w:szCs w:val="20"/>
              </w:rPr>
            </w:pPr>
            <w:r>
              <w:rPr>
                <w:rFonts w:ascii="Times New Roman" w:hAnsi="Times New Roman" w:cs="Times New Roman"/>
                <w:sz w:val="20"/>
                <w:szCs w:val="20"/>
              </w:rPr>
              <w:t>1.051</w:t>
            </w:r>
          </w:p>
        </w:tc>
      </w:tr>
      <w:tr w:rsidR="001331F3" w:rsidTr="00C464C0">
        <w:trPr>
          <w:trHeight w:val="265"/>
        </w:trPr>
        <w:tc>
          <w:tcPr>
            <w:tcW w:w="1329" w:type="dxa"/>
          </w:tcPr>
          <w:p w:rsidR="001331F3" w:rsidRDefault="001331F3">
            <w:pPr>
              <w:ind w:right="-10"/>
              <w:rPr>
                <w:rFonts w:ascii="Times New Roman" w:hAnsi="Times New Roman" w:cs="Times New Roman"/>
                <w:b/>
                <w:bCs/>
                <w:sz w:val="20"/>
                <w:szCs w:val="20"/>
              </w:rPr>
            </w:pPr>
          </w:p>
        </w:tc>
        <w:tc>
          <w:tcPr>
            <w:tcW w:w="1633" w:type="dxa"/>
            <w:vAlign w:val="center"/>
            <w:hideMark/>
          </w:tcPr>
          <w:p w:rsidR="001331F3" w:rsidRDefault="001331F3">
            <w:pPr>
              <w:rPr>
                <w:rFonts w:ascii="Times New Roman" w:hAnsi="Times New Roman" w:cs="Times New Roman"/>
                <w:sz w:val="20"/>
                <w:szCs w:val="20"/>
              </w:rPr>
            </w:pPr>
            <w:r>
              <w:rPr>
                <w:rFonts w:ascii="Times New Roman" w:hAnsi="Times New Roman" w:cs="Times New Roman"/>
                <w:sz w:val="20"/>
                <w:szCs w:val="20"/>
              </w:rPr>
              <w:t>DukunganSosial</w:t>
            </w:r>
          </w:p>
        </w:tc>
        <w:tc>
          <w:tcPr>
            <w:tcW w:w="817" w:type="dxa"/>
            <w:vAlign w:val="center"/>
            <w:hideMark/>
          </w:tcPr>
          <w:p w:rsidR="001331F3" w:rsidRDefault="001331F3">
            <w:pPr>
              <w:jc w:val="right"/>
              <w:rPr>
                <w:rFonts w:ascii="Times New Roman" w:hAnsi="Times New Roman" w:cs="Times New Roman"/>
                <w:sz w:val="20"/>
                <w:szCs w:val="20"/>
              </w:rPr>
            </w:pPr>
            <w:r>
              <w:rPr>
                <w:rFonts w:ascii="Times New Roman" w:hAnsi="Times New Roman" w:cs="Times New Roman"/>
                <w:sz w:val="20"/>
                <w:szCs w:val="20"/>
              </w:rPr>
              <w:t>-1.607</w:t>
            </w:r>
          </w:p>
        </w:tc>
        <w:tc>
          <w:tcPr>
            <w:tcW w:w="1089" w:type="dxa"/>
            <w:vAlign w:val="center"/>
            <w:hideMark/>
          </w:tcPr>
          <w:p w:rsidR="001331F3" w:rsidRDefault="001331F3">
            <w:pPr>
              <w:jc w:val="right"/>
              <w:rPr>
                <w:rFonts w:ascii="Times New Roman" w:hAnsi="Times New Roman" w:cs="Times New Roman"/>
                <w:sz w:val="20"/>
                <w:szCs w:val="20"/>
              </w:rPr>
            </w:pPr>
            <w:r>
              <w:rPr>
                <w:rFonts w:ascii="Times New Roman" w:hAnsi="Times New Roman" w:cs="Times New Roman"/>
                <w:sz w:val="20"/>
                <w:szCs w:val="20"/>
              </w:rPr>
              <w:t>0.406</w:t>
            </w:r>
          </w:p>
        </w:tc>
        <w:tc>
          <w:tcPr>
            <w:tcW w:w="1089" w:type="dxa"/>
            <w:vAlign w:val="center"/>
            <w:hideMark/>
          </w:tcPr>
          <w:p w:rsidR="001331F3" w:rsidRDefault="001331F3">
            <w:pPr>
              <w:jc w:val="right"/>
              <w:rPr>
                <w:rFonts w:ascii="Times New Roman" w:hAnsi="Times New Roman" w:cs="Times New Roman"/>
                <w:sz w:val="20"/>
                <w:szCs w:val="20"/>
              </w:rPr>
            </w:pPr>
            <w:r>
              <w:rPr>
                <w:rFonts w:ascii="Times New Roman" w:hAnsi="Times New Roman" w:cs="Times New Roman"/>
                <w:sz w:val="20"/>
                <w:szCs w:val="20"/>
              </w:rPr>
              <w:t>-0.352</w:t>
            </w:r>
          </w:p>
        </w:tc>
        <w:tc>
          <w:tcPr>
            <w:tcW w:w="952" w:type="dxa"/>
            <w:vAlign w:val="center"/>
            <w:hideMark/>
          </w:tcPr>
          <w:p w:rsidR="001331F3" w:rsidRDefault="001331F3">
            <w:pPr>
              <w:jc w:val="right"/>
              <w:rPr>
                <w:rFonts w:ascii="Times New Roman" w:hAnsi="Times New Roman" w:cs="Times New Roman"/>
                <w:sz w:val="20"/>
                <w:szCs w:val="20"/>
              </w:rPr>
            </w:pPr>
            <w:r>
              <w:rPr>
                <w:rFonts w:ascii="Times New Roman" w:hAnsi="Times New Roman" w:cs="Times New Roman"/>
                <w:sz w:val="20"/>
                <w:szCs w:val="20"/>
              </w:rPr>
              <w:t>-3.959</w:t>
            </w:r>
          </w:p>
        </w:tc>
        <w:tc>
          <w:tcPr>
            <w:tcW w:w="952" w:type="dxa"/>
            <w:vAlign w:val="center"/>
            <w:hideMark/>
          </w:tcPr>
          <w:p w:rsidR="001331F3" w:rsidRDefault="001331F3">
            <w:pPr>
              <w:jc w:val="right"/>
              <w:rPr>
                <w:rFonts w:ascii="Times New Roman" w:hAnsi="Times New Roman" w:cs="Times New Roman"/>
                <w:sz w:val="20"/>
                <w:szCs w:val="20"/>
              </w:rPr>
            </w:pPr>
            <w:r>
              <w:rPr>
                <w:rFonts w:ascii="Times New Roman" w:hAnsi="Times New Roman" w:cs="Times New Roman"/>
                <w:sz w:val="20"/>
                <w:szCs w:val="20"/>
              </w:rPr>
              <w:t>&lt; .001</w:t>
            </w:r>
          </w:p>
        </w:tc>
        <w:tc>
          <w:tcPr>
            <w:tcW w:w="1225" w:type="dxa"/>
            <w:vAlign w:val="center"/>
            <w:hideMark/>
          </w:tcPr>
          <w:p w:rsidR="001331F3" w:rsidRDefault="001331F3">
            <w:pPr>
              <w:jc w:val="right"/>
              <w:rPr>
                <w:rFonts w:ascii="Times New Roman" w:hAnsi="Times New Roman" w:cs="Times New Roman"/>
                <w:sz w:val="20"/>
                <w:szCs w:val="20"/>
              </w:rPr>
            </w:pPr>
            <w:r>
              <w:rPr>
                <w:rFonts w:ascii="Times New Roman" w:hAnsi="Times New Roman" w:cs="Times New Roman"/>
                <w:sz w:val="20"/>
                <w:szCs w:val="20"/>
              </w:rPr>
              <w:t>0.951</w:t>
            </w:r>
          </w:p>
        </w:tc>
        <w:tc>
          <w:tcPr>
            <w:tcW w:w="1361" w:type="dxa"/>
            <w:vAlign w:val="center"/>
            <w:hideMark/>
          </w:tcPr>
          <w:p w:rsidR="001331F3" w:rsidRDefault="001331F3">
            <w:pPr>
              <w:jc w:val="right"/>
              <w:rPr>
                <w:rFonts w:ascii="Times New Roman" w:hAnsi="Times New Roman" w:cs="Times New Roman"/>
                <w:sz w:val="20"/>
                <w:szCs w:val="20"/>
              </w:rPr>
            </w:pPr>
            <w:r>
              <w:rPr>
                <w:rFonts w:ascii="Times New Roman" w:hAnsi="Times New Roman" w:cs="Times New Roman"/>
                <w:sz w:val="20"/>
                <w:szCs w:val="20"/>
              </w:rPr>
              <w:t>1.051</w:t>
            </w:r>
          </w:p>
        </w:tc>
      </w:tr>
    </w:tbl>
    <w:p w:rsidR="001331F3" w:rsidRDefault="001331F3" w:rsidP="001331F3"/>
    <w:p w:rsidR="001331F3" w:rsidRDefault="001331F3" w:rsidP="001331F3">
      <w:pPr>
        <w:ind w:firstLine="720"/>
        <w:jc w:val="both"/>
        <w:rPr>
          <w:sz w:val="20"/>
          <w:szCs w:val="20"/>
        </w:rPr>
      </w:pPr>
      <w:r>
        <w:rPr>
          <w:sz w:val="20"/>
          <w:szCs w:val="20"/>
        </w:rPr>
        <w:t>Multikolinieriti tidak terjadi ketika toleransi memiliki nilai lebih besar dari 0.100 dan nilai Variance Inflation Factor (VIF) kurang dari 10.00, sebagaimana ditunjukkan dalam analisis uji Multikolinieriti menggunakan perangkat lunak JASP pada tabel koefisien. Dari tabel yang disajikan, dapat diamati bahwa untuk variabel independen (X1) yang merupakan religiusitas, toleransinya adalah 0.951 dengan VIF 1.051, sementara variabel independen (X2) yang merupakan dukungan sosial memiliki toleransi sebesar 0.951 dan VIF 1.051. Dengan demikian, asumsi mengenai ketiadaan multikolinieritas telah terpenuhi.</w:t>
      </w:r>
    </w:p>
    <w:p w:rsidR="001331F3" w:rsidRDefault="001331F3" w:rsidP="001331F3"/>
    <w:p w:rsidR="001331F3" w:rsidRDefault="001331F3" w:rsidP="001331F3">
      <w:pPr>
        <w:rPr>
          <w:b/>
          <w:sz w:val="20"/>
          <w:szCs w:val="20"/>
        </w:rPr>
      </w:pPr>
    </w:p>
    <w:p w:rsidR="001331F3" w:rsidRDefault="001331F3" w:rsidP="001331F3">
      <w:pPr>
        <w:rPr>
          <w:b/>
          <w:sz w:val="20"/>
          <w:szCs w:val="20"/>
        </w:rPr>
      </w:pPr>
    </w:p>
    <w:p w:rsidR="001331F3" w:rsidRDefault="001331F3" w:rsidP="001331F3">
      <w:pPr>
        <w:rPr>
          <w:b/>
          <w:sz w:val="20"/>
          <w:szCs w:val="20"/>
        </w:rPr>
      </w:pPr>
    </w:p>
    <w:p w:rsidR="001331F3" w:rsidRDefault="001331F3" w:rsidP="001331F3">
      <w:pPr>
        <w:rPr>
          <w:b/>
          <w:sz w:val="20"/>
          <w:szCs w:val="20"/>
        </w:rPr>
      </w:pPr>
      <w:r>
        <w:rPr>
          <w:b/>
          <w:sz w:val="20"/>
          <w:szCs w:val="20"/>
        </w:rPr>
        <w:t>d. Uji Heteroskedaktisitas</w:t>
      </w:r>
    </w:p>
    <w:p w:rsidR="001331F3" w:rsidRDefault="001331F3" w:rsidP="001331F3">
      <w:pPr>
        <w:rPr>
          <w:sz w:val="20"/>
          <w:szCs w:val="20"/>
        </w:rPr>
      </w:pPr>
    </w:p>
    <w:p w:rsidR="001331F3" w:rsidRDefault="001331F3" w:rsidP="001331F3">
      <w:pPr>
        <w:jc w:val="both"/>
        <w:rPr>
          <w:sz w:val="20"/>
          <w:szCs w:val="20"/>
        </w:rPr>
      </w:pPr>
      <w:r>
        <w:rPr>
          <w:sz w:val="20"/>
          <w:szCs w:val="20"/>
        </w:rPr>
        <w:t>Uji heteroskedastisitas bertujuan untuk menentukan apakah ada ketidaksesuaian dalam uji linear, serta apakah titik-titik tersebar tidak merata dan tidak membentuk pola tertentu.</w:t>
      </w:r>
    </w:p>
    <w:p w:rsidR="001331F3" w:rsidRDefault="001331F3" w:rsidP="001331F3">
      <w:pPr>
        <w:rPr>
          <w:sz w:val="20"/>
          <w:szCs w:val="20"/>
        </w:rPr>
      </w:pPr>
    </w:p>
    <w:p w:rsidR="001331F3" w:rsidRDefault="001331F3" w:rsidP="001331F3">
      <w:pPr>
        <w:ind w:right="-10"/>
        <w:jc w:val="both"/>
        <w:rPr>
          <w:b/>
          <w:bCs/>
          <w:sz w:val="20"/>
          <w:szCs w:val="20"/>
        </w:rPr>
      </w:pPr>
      <w:r>
        <w:rPr>
          <w:b/>
          <w:bCs/>
          <w:sz w:val="20"/>
          <w:szCs w:val="20"/>
        </w:rPr>
        <w:t>Tabel 5. Hasil Uji Heteroskedaktisita</w:t>
      </w:r>
    </w:p>
    <w:p w:rsidR="001331F3" w:rsidRDefault="001331F3" w:rsidP="001331F3">
      <w:pPr>
        <w:ind w:right="-10"/>
        <w:jc w:val="both"/>
        <w:rPr>
          <w:sz w:val="20"/>
          <w:szCs w:val="20"/>
        </w:rPr>
      </w:pPr>
    </w:p>
    <w:p w:rsidR="001331F3" w:rsidRDefault="001331F3" w:rsidP="001331F3">
      <w:pPr>
        <w:ind w:right="-10"/>
        <w:jc w:val="both"/>
        <w:rPr>
          <w:b/>
          <w:bCs/>
          <w:sz w:val="20"/>
          <w:szCs w:val="20"/>
        </w:rPr>
      </w:pPr>
      <w:r>
        <w:rPr>
          <w:sz w:val="20"/>
          <w:szCs w:val="20"/>
        </w:rPr>
        <w:t>Residuals vs. Predicted</w:t>
      </w:r>
    </w:p>
    <w:p w:rsidR="001331F3" w:rsidRDefault="001331F3" w:rsidP="001331F3"/>
    <w:p w:rsidR="001331F3" w:rsidRDefault="001331F3" w:rsidP="001331F3">
      <w:r>
        <w:rPr>
          <w:noProof/>
          <w:lang w:eastAsia="id-ID"/>
        </w:rPr>
        <w:drawing>
          <wp:inline distT="0" distB="0" distL="0" distR="0">
            <wp:extent cx="3101340" cy="1890395"/>
            <wp:effectExtent l="19050" t="0" r="3810" b="0"/>
            <wp:docPr id="6" name="Gamba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ambar 6"/>
                    <pic:cNvPicPr>
                      <a:picLocks noChangeAspect="1" noChangeArrowheads="1"/>
                    </pic:cNvPicPr>
                  </pic:nvPicPr>
                  <pic:blipFill>
                    <a:blip r:embed="rId17" cstate="print"/>
                    <a:srcRect/>
                    <a:stretch>
                      <a:fillRect/>
                    </a:stretch>
                  </pic:blipFill>
                  <pic:spPr bwMode="auto">
                    <a:xfrm>
                      <a:off x="0" y="0"/>
                      <a:ext cx="3101340" cy="1890395"/>
                    </a:xfrm>
                    <a:prstGeom prst="rect">
                      <a:avLst/>
                    </a:prstGeom>
                    <a:noFill/>
                    <a:ln w="9525">
                      <a:noFill/>
                      <a:miter lim="800000"/>
                      <a:headEnd/>
                      <a:tailEnd/>
                    </a:ln>
                  </pic:spPr>
                </pic:pic>
              </a:graphicData>
            </a:graphic>
          </wp:inline>
        </w:drawing>
      </w:r>
    </w:p>
    <w:p w:rsidR="001331F3" w:rsidRDefault="001331F3" w:rsidP="001331F3"/>
    <w:p w:rsidR="001331F3" w:rsidRDefault="001331F3" w:rsidP="001331F3">
      <w:pPr>
        <w:ind w:firstLine="720"/>
        <w:jc w:val="both"/>
        <w:rPr>
          <w:sz w:val="20"/>
          <w:szCs w:val="20"/>
        </w:rPr>
      </w:pPr>
      <w:r>
        <w:rPr>
          <w:sz w:val="20"/>
          <w:szCs w:val="20"/>
        </w:rPr>
        <w:t>Dari grafik di atas, dapat dilihat bahwa garis merah yang menunjukkan residual terhadap nilai yang diprediksi cenderung datar, dan titik-titik tersebar secara acak. Hal ini menandakan bahwa residual dalam penelitian tidak dipengaruhi oleh variabel lain.</w:t>
      </w:r>
    </w:p>
    <w:p w:rsidR="001331F3" w:rsidRDefault="001331F3" w:rsidP="001331F3"/>
    <w:p w:rsidR="00C464C0" w:rsidRDefault="00C464C0" w:rsidP="001331F3">
      <w:pPr>
        <w:rPr>
          <w:b/>
          <w:sz w:val="20"/>
          <w:szCs w:val="20"/>
        </w:rPr>
      </w:pPr>
    </w:p>
    <w:p w:rsidR="00C464C0" w:rsidRDefault="00C464C0" w:rsidP="001331F3">
      <w:pPr>
        <w:rPr>
          <w:b/>
          <w:sz w:val="20"/>
          <w:szCs w:val="20"/>
        </w:rPr>
      </w:pPr>
    </w:p>
    <w:p w:rsidR="00737976" w:rsidRDefault="00737976" w:rsidP="001331F3">
      <w:pPr>
        <w:rPr>
          <w:b/>
          <w:sz w:val="20"/>
          <w:szCs w:val="20"/>
        </w:rPr>
      </w:pPr>
    </w:p>
    <w:p w:rsidR="00737976" w:rsidRDefault="00737976" w:rsidP="001331F3">
      <w:pPr>
        <w:rPr>
          <w:b/>
          <w:sz w:val="20"/>
          <w:szCs w:val="20"/>
        </w:rPr>
      </w:pPr>
    </w:p>
    <w:p w:rsidR="001331F3" w:rsidRDefault="001331F3" w:rsidP="001331F3">
      <w:pPr>
        <w:rPr>
          <w:b/>
          <w:sz w:val="20"/>
          <w:szCs w:val="20"/>
        </w:rPr>
      </w:pPr>
      <w:r>
        <w:rPr>
          <w:b/>
          <w:sz w:val="20"/>
          <w:szCs w:val="20"/>
        </w:rPr>
        <w:lastRenderedPageBreak/>
        <w:t>3. Uji Hipotesis</w:t>
      </w:r>
    </w:p>
    <w:p w:rsidR="00737976" w:rsidRDefault="00737976" w:rsidP="001331F3">
      <w:pPr>
        <w:rPr>
          <w:b/>
          <w:sz w:val="20"/>
          <w:szCs w:val="20"/>
        </w:rPr>
      </w:pPr>
    </w:p>
    <w:p w:rsidR="001331F3" w:rsidRDefault="001331F3" w:rsidP="001331F3">
      <w:pPr>
        <w:ind w:firstLine="720"/>
        <w:jc w:val="both"/>
        <w:rPr>
          <w:sz w:val="20"/>
          <w:szCs w:val="20"/>
        </w:rPr>
      </w:pPr>
      <w:r>
        <w:rPr>
          <w:sz w:val="20"/>
          <w:szCs w:val="20"/>
        </w:rPr>
        <w:t>Hipotesis yang akan diuji adalah "Ada korelasi antara tingkat religiusitas dan dukungan sosial dengan tingkat kecemasan menghadapi kematian pada populasi lanjut usia.”</w:t>
      </w:r>
    </w:p>
    <w:p w:rsidR="001331F3" w:rsidRDefault="001331F3" w:rsidP="001331F3"/>
    <w:p w:rsidR="001331F3" w:rsidRDefault="001331F3" w:rsidP="001331F3"/>
    <w:p w:rsidR="001331F3" w:rsidRDefault="001331F3" w:rsidP="001331F3">
      <w:pPr>
        <w:ind w:right="-10"/>
        <w:jc w:val="both"/>
        <w:rPr>
          <w:b/>
          <w:bCs/>
          <w:sz w:val="20"/>
          <w:szCs w:val="20"/>
        </w:rPr>
      </w:pPr>
      <w:r>
        <w:rPr>
          <w:b/>
          <w:bCs/>
          <w:sz w:val="20"/>
          <w:szCs w:val="20"/>
        </w:rPr>
        <w:t>Tabel 6. Hasil Uji Hipotesis</w:t>
      </w:r>
    </w:p>
    <w:p w:rsidR="001331F3" w:rsidRDefault="001331F3" w:rsidP="001331F3">
      <w:pPr>
        <w:rPr>
          <w:sz w:val="20"/>
          <w:szCs w:val="20"/>
        </w:rPr>
      </w:pPr>
    </w:p>
    <w:tbl>
      <w:tblPr>
        <w:tblW w:w="9238" w:type="dxa"/>
        <w:tblLook w:val="04A0"/>
      </w:tblPr>
      <w:tblGrid>
        <w:gridCol w:w="3951"/>
        <w:gridCol w:w="559"/>
        <w:gridCol w:w="1100"/>
        <w:gridCol w:w="82"/>
        <w:gridCol w:w="1100"/>
        <w:gridCol w:w="82"/>
        <w:gridCol w:w="1100"/>
        <w:gridCol w:w="82"/>
        <w:gridCol w:w="1100"/>
        <w:gridCol w:w="82"/>
      </w:tblGrid>
      <w:tr w:rsidR="001331F3" w:rsidTr="00737976">
        <w:trPr>
          <w:trHeight w:val="319"/>
          <w:tblHeader/>
        </w:trPr>
        <w:tc>
          <w:tcPr>
            <w:tcW w:w="9237" w:type="dxa"/>
            <w:gridSpan w:val="10"/>
            <w:tcBorders>
              <w:bottom w:val="single" w:sz="4" w:space="0" w:color="auto"/>
            </w:tcBorders>
            <w:tcMar>
              <w:top w:w="15" w:type="dxa"/>
              <w:left w:w="15" w:type="dxa"/>
              <w:bottom w:w="15" w:type="dxa"/>
              <w:right w:w="15" w:type="dxa"/>
            </w:tcMar>
            <w:vAlign w:val="center"/>
            <w:hideMark/>
          </w:tcPr>
          <w:p w:rsidR="001331F3" w:rsidRDefault="001331F3">
            <w:pPr>
              <w:rPr>
                <w:b/>
                <w:bCs/>
                <w:sz w:val="20"/>
                <w:szCs w:val="20"/>
              </w:rPr>
            </w:pPr>
            <w:r w:rsidRPr="00C464C0">
              <w:rPr>
                <w:b/>
                <w:bCs/>
                <w:sz w:val="20"/>
                <w:szCs w:val="20"/>
              </w:rPr>
              <w:t>Model Summary – Kecemasan Menghadapi Kematian</w:t>
            </w:r>
            <w:r>
              <w:rPr>
                <w:b/>
                <w:bCs/>
                <w:sz w:val="20"/>
                <w:szCs w:val="20"/>
              </w:rPr>
              <w:t xml:space="preserve"> </w:t>
            </w:r>
          </w:p>
        </w:tc>
      </w:tr>
      <w:tr w:rsidR="001331F3" w:rsidTr="00737976">
        <w:trPr>
          <w:trHeight w:val="298"/>
          <w:tblHeader/>
        </w:trPr>
        <w:tc>
          <w:tcPr>
            <w:tcW w:w="1968" w:type="dxa"/>
            <w:gridSpan w:val="2"/>
            <w:tcBorders>
              <w:top w:val="single" w:sz="4" w:space="0" w:color="auto"/>
              <w:bottom w:val="single" w:sz="4" w:space="0" w:color="auto"/>
            </w:tcBorders>
            <w:tcMar>
              <w:top w:w="15" w:type="dxa"/>
              <w:left w:w="15" w:type="dxa"/>
              <w:bottom w:w="15" w:type="dxa"/>
              <w:right w:w="15" w:type="dxa"/>
            </w:tcMar>
            <w:vAlign w:val="center"/>
            <w:hideMark/>
          </w:tcPr>
          <w:p w:rsidR="001331F3" w:rsidRDefault="001331F3">
            <w:pPr>
              <w:jc w:val="center"/>
              <w:rPr>
                <w:b/>
                <w:bCs/>
                <w:sz w:val="20"/>
                <w:szCs w:val="20"/>
              </w:rPr>
            </w:pPr>
            <w:r>
              <w:rPr>
                <w:b/>
                <w:bCs/>
                <w:sz w:val="20"/>
                <w:szCs w:val="20"/>
              </w:rPr>
              <w:t>Model</w:t>
            </w:r>
          </w:p>
        </w:tc>
        <w:tc>
          <w:tcPr>
            <w:tcW w:w="0" w:type="auto"/>
            <w:gridSpan w:val="2"/>
            <w:tcBorders>
              <w:top w:val="single" w:sz="4" w:space="0" w:color="auto"/>
              <w:bottom w:val="single" w:sz="4" w:space="0" w:color="auto"/>
            </w:tcBorders>
            <w:tcMar>
              <w:top w:w="15" w:type="dxa"/>
              <w:left w:w="15" w:type="dxa"/>
              <w:bottom w:w="15" w:type="dxa"/>
              <w:right w:w="15" w:type="dxa"/>
            </w:tcMar>
            <w:vAlign w:val="center"/>
            <w:hideMark/>
          </w:tcPr>
          <w:p w:rsidR="001331F3" w:rsidRDefault="001331F3">
            <w:pPr>
              <w:jc w:val="center"/>
              <w:rPr>
                <w:b/>
                <w:bCs/>
                <w:sz w:val="20"/>
                <w:szCs w:val="20"/>
              </w:rPr>
            </w:pPr>
            <w:r>
              <w:rPr>
                <w:b/>
                <w:bCs/>
                <w:sz w:val="20"/>
                <w:szCs w:val="20"/>
              </w:rPr>
              <w:t>R</w:t>
            </w:r>
          </w:p>
        </w:tc>
        <w:tc>
          <w:tcPr>
            <w:tcW w:w="0" w:type="auto"/>
            <w:gridSpan w:val="2"/>
            <w:tcBorders>
              <w:top w:val="single" w:sz="4" w:space="0" w:color="auto"/>
              <w:bottom w:val="single" w:sz="4" w:space="0" w:color="auto"/>
            </w:tcBorders>
            <w:tcMar>
              <w:top w:w="15" w:type="dxa"/>
              <w:left w:w="15" w:type="dxa"/>
              <w:bottom w:w="15" w:type="dxa"/>
              <w:right w:w="15" w:type="dxa"/>
            </w:tcMar>
            <w:vAlign w:val="center"/>
            <w:hideMark/>
          </w:tcPr>
          <w:p w:rsidR="001331F3" w:rsidRDefault="001331F3">
            <w:pPr>
              <w:jc w:val="center"/>
              <w:rPr>
                <w:b/>
                <w:bCs/>
                <w:sz w:val="20"/>
                <w:szCs w:val="20"/>
              </w:rPr>
            </w:pPr>
            <w:r>
              <w:rPr>
                <w:b/>
                <w:bCs/>
                <w:sz w:val="20"/>
                <w:szCs w:val="20"/>
              </w:rPr>
              <w:t>R²</w:t>
            </w:r>
          </w:p>
        </w:tc>
        <w:tc>
          <w:tcPr>
            <w:tcW w:w="0" w:type="auto"/>
            <w:gridSpan w:val="2"/>
            <w:tcBorders>
              <w:top w:val="single" w:sz="4" w:space="0" w:color="auto"/>
              <w:bottom w:val="single" w:sz="4" w:space="0" w:color="auto"/>
            </w:tcBorders>
            <w:tcMar>
              <w:top w:w="15" w:type="dxa"/>
              <w:left w:w="15" w:type="dxa"/>
              <w:bottom w:w="15" w:type="dxa"/>
              <w:right w:w="15" w:type="dxa"/>
            </w:tcMar>
            <w:vAlign w:val="center"/>
            <w:hideMark/>
          </w:tcPr>
          <w:p w:rsidR="001331F3" w:rsidRDefault="001331F3">
            <w:pPr>
              <w:jc w:val="center"/>
              <w:rPr>
                <w:b/>
                <w:bCs/>
                <w:sz w:val="20"/>
                <w:szCs w:val="20"/>
              </w:rPr>
            </w:pPr>
            <w:r>
              <w:rPr>
                <w:b/>
                <w:bCs/>
                <w:sz w:val="20"/>
                <w:szCs w:val="20"/>
              </w:rPr>
              <w:t>Adjusted R²</w:t>
            </w:r>
          </w:p>
        </w:tc>
        <w:tc>
          <w:tcPr>
            <w:tcW w:w="0" w:type="auto"/>
            <w:gridSpan w:val="2"/>
            <w:tcBorders>
              <w:top w:val="single" w:sz="4" w:space="0" w:color="auto"/>
              <w:bottom w:val="single" w:sz="4" w:space="0" w:color="auto"/>
            </w:tcBorders>
            <w:tcMar>
              <w:top w:w="15" w:type="dxa"/>
              <w:left w:w="15" w:type="dxa"/>
              <w:bottom w:w="15" w:type="dxa"/>
              <w:right w:w="15" w:type="dxa"/>
            </w:tcMar>
            <w:vAlign w:val="center"/>
            <w:hideMark/>
          </w:tcPr>
          <w:p w:rsidR="001331F3" w:rsidRDefault="001331F3">
            <w:pPr>
              <w:jc w:val="center"/>
              <w:rPr>
                <w:b/>
                <w:bCs/>
                <w:sz w:val="20"/>
                <w:szCs w:val="20"/>
              </w:rPr>
            </w:pPr>
            <w:r>
              <w:rPr>
                <w:b/>
                <w:bCs/>
                <w:sz w:val="20"/>
                <w:szCs w:val="20"/>
              </w:rPr>
              <w:t>RMSE</w:t>
            </w:r>
          </w:p>
        </w:tc>
      </w:tr>
      <w:tr w:rsidR="001331F3" w:rsidTr="00737976">
        <w:trPr>
          <w:trHeight w:val="319"/>
        </w:trPr>
        <w:tc>
          <w:tcPr>
            <w:tcW w:w="1724" w:type="dxa"/>
            <w:tcBorders>
              <w:top w:val="single" w:sz="4" w:space="0" w:color="auto"/>
            </w:tcBorders>
            <w:tcMar>
              <w:top w:w="15" w:type="dxa"/>
              <w:left w:w="15" w:type="dxa"/>
              <w:bottom w:w="15" w:type="dxa"/>
              <w:right w:w="15" w:type="dxa"/>
            </w:tcMar>
            <w:vAlign w:val="center"/>
            <w:hideMark/>
          </w:tcPr>
          <w:p w:rsidR="001331F3" w:rsidRDefault="001331F3">
            <w:pPr>
              <w:rPr>
                <w:sz w:val="20"/>
                <w:szCs w:val="20"/>
              </w:rPr>
            </w:pPr>
            <w:r>
              <w:rPr>
                <w:sz w:val="20"/>
                <w:szCs w:val="20"/>
              </w:rPr>
              <w:t>H</w:t>
            </w:r>
            <w:r>
              <w:rPr>
                <w:rFonts w:ascii="Cambria Math" w:hAnsi="Cambria Math"/>
                <w:sz w:val="20"/>
                <w:szCs w:val="20"/>
              </w:rPr>
              <w:t>₀</w:t>
            </w:r>
          </w:p>
        </w:tc>
        <w:tc>
          <w:tcPr>
            <w:tcW w:w="0" w:type="auto"/>
            <w:tcBorders>
              <w:top w:val="single" w:sz="4" w:space="0" w:color="auto"/>
            </w:tcBorders>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Borders>
              <w:top w:val="single" w:sz="4" w:space="0" w:color="auto"/>
            </w:tcBorders>
            <w:tcMar>
              <w:top w:w="15" w:type="dxa"/>
              <w:left w:w="15" w:type="dxa"/>
              <w:bottom w:w="15" w:type="dxa"/>
              <w:right w:w="15" w:type="dxa"/>
            </w:tcMar>
            <w:vAlign w:val="center"/>
            <w:hideMark/>
          </w:tcPr>
          <w:p w:rsidR="001331F3" w:rsidRDefault="001331F3">
            <w:pPr>
              <w:jc w:val="right"/>
              <w:rPr>
                <w:sz w:val="20"/>
                <w:szCs w:val="20"/>
              </w:rPr>
            </w:pPr>
            <w:r>
              <w:rPr>
                <w:sz w:val="20"/>
                <w:szCs w:val="20"/>
              </w:rPr>
              <w:t>0.000</w:t>
            </w:r>
          </w:p>
        </w:tc>
        <w:tc>
          <w:tcPr>
            <w:tcW w:w="0" w:type="auto"/>
            <w:tcBorders>
              <w:top w:val="single" w:sz="4" w:space="0" w:color="auto"/>
            </w:tcBorders>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Borders>
              <w:top w:val="single" w:sz="4" w:space="0" w:color="auto"/>
            </w:tcBorders>
            <w:tcMar>
              <w:top w:w="15" w:type="dxa"/>
              <w:left w:w="15" w:type="dxa"/>
              <w:bottom w:w="15" w:type="dxa"/>
              <w:right w:w="15" w:type="dxa"/>
            </w:tcMar>
            <w:vAlign w:val="center"/>
            <w:hideMark/>
          </w:tcPr>
          <w:p w:rsidR="001331F3" w:rsidRDefault="001331F3">
            <w:pPr>
              <w:jc w:val="right"/>
              <w:rPr>
                <w:sz w:val="20"/>
                <w:szCs w:val="20"/>
              </w:rPr>
            </w:pPr>
            <w:r>
              <w:rPr>
                <w:sz w:val="20"/>
                <w:szCs w:val="20"/>
              </w:rPr>
              <w:t>0.000</w:t>
            </w:r>
          </w:p>
        </w:tc>
        <w:tc>
          <w:tcPr>
            <w:tcW w:w="0" w:type="auto"/>
            <w:tcBorders>
              <w:top w:val="single" w:sz="4" w:space="0" w:color="auto"/>
            </w:tcBorders>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Borders>
              <w:top w:val="single" w:sz="4" w:space="0" w:color="auto"/>
            </w:tcBorders>
            <w:tcMar>
              <w:top w:w="15" w:type="dxa"/>
              <w:left w:w="15" w:type="dxa"/>
              <w:bottom w:w="15" w:type="dxa"/>
              <w:right w:w="15" w:type="dxa"/>
            </w:tcMar>
            <w:vAlign w:val="center"/>
            <w:hideMark/>
          </w:tcPr>
          <w:p w:rsidR="001331F3" w:rsidRDefault="001331F3">
            <w:pPr>
              <w:jc w:val="right"/>
              <w:rPr>
                <w:sz w:val="20"/>
                <w:szCs w:val="20"/>
              </w:rPr>
            </w:pPr>
            <w:r>
              <w:rPr>
                <w:sz w:val="20"/>
                <w:szCs w:val="20"/>
              </w:rPr>
              <w:t>0.000</w:t>
            </w:r>
          </w:p>
        </w:tc>
        <w:tc>
          <w:tcPr>
            <w:tcW w:w="0" w:type="auto"/>
            <w:tcBorders>
              <w:top w:val="single" w:sz="4" w:space="0" w:color="auto"/>
            </w:tcBorders>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Borders>
              <w:top w:val="single" w:sz="4" w:space="0" w:color="auto"/>
            </w:tcBorders>
            <w:tcMar>
              <w:top w:w="15" w:type="dxa"/>
              <w:left w:w="15" w:type="dxa"/>
              <w:bottom w:w="15" w:type="dxa"/>
              <w:right w:w="15" w:type="dxa"/>
            </w:tcMar>
            <w:vAlign w:val="center"/>
            <w:hideMark/>
          </w:tcPr>
          <w:p w:rsidR="001331F3" w:rsidRDefault="001331F3">
            <w:pPr>
              <w:jc w:val="right"/>
              <w:rPr>
                <w:sz w:val="20"/>
                <w:szCs w:val="20"/>
              </w:rPr>
            </w:pPr>
            <w:r>
              <w:rPr>
                <w:sz w:val="20"/>
                <w:szCs w:val="20"/>
              </w:rPr>
              <w:t>4.839</w:t>
            </w:r>
          </w:p>
        </w:tc>
        <w:tc>
          <w:tcPr>
            <w:tcW w:w="0" w:type="auto"/>
            <w:tcBorders>
              <w:top w:val="single" w:sz="4" w:space="0" w:color="auto"/>
            </w:tcBorders>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r>
      <w:tr w:rsidR="001331F3" w:rsidTr="00737976">
        <w:trPr>
          <w:trHeight w:val="298"/>
        </w:trPr>
        <w:tc>
          <w:tcPr>
            <w:tcW w:w="1724" w:type="dxa"/>
            <w:tcBorders>
              <w:bottom w:val="single" w:sz="4" w:space="0" w:color="auto"/>
            </w:tcBorders>
            <w:tcMar>
              <w:top w:w="15" w:type="dxa"/>
              <w:left w:w="15" w:type="dxa"/>
              <w:bottom w:w="15" w:type="dxa"/>
              <w:right w:w="15" w:type="dxa"/>
            </w:tcMar>
            <w:vAlign w:val="center"/>
            <w:hideMark/>
          </w:tcPr>
          <w:p w:rsidR="001331F3" w:rsidRDefault="001331F3">
            <w:pPr>
              <w:rPr>
                <w:sz w:val="20"/>
                <w:szCs w:val="20"/>
              </w:rPr>
            </w:pPr>
            <w:r>
              <w:rPr>
                <w:sz w:val="20"/>
                <w:szCs w:val="20"/>
              </w:rPr>
              <w:t>H</w:t>
            </w:r>
            <w:r>
              <w:rPr>
                <w:rFonts w:ascii="Cambria Math" w:hAnsi="Cambria Math"/>
                <w:sz w:val="20"/>
                <w:szCs w:val="20"/>
              </w:rPr>
              <w:t>₁</w:t>
            </w:r>
          </w:p>
        </w:tc>
        <w:tc>
          <w:tcPr>
            <w:tcW w:w="0" w:type="auto"/>
            <w:tcBorders>
              <w:bottom w:val="single" w:sz="4" w:space="0" w:color="auto"/>
            </w:tcBorders>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Borders>
              <w:bottom w:val="single" w:sz="4" w:space="0" w:color="auto"/>
            </w:tcBorders>
            <w:tcMar>
              <w:top w:w="15" w:type="dxa"/>
              <w:left w:w="15" w:type="dxa"/>
              <w:bottom w:w="15" w:type="dxa"/>
              <w:right w:w="15" w:type="dxa"/>
            </w:tcMar>
            <w:vAlign w:val="center"/>
            <w:hideMark/>
          </w:tcPr>
          <w:p w:rsidR="001331F3" w:rsidRDefault="001331F3">
            <w:pPr>
              <w:jc w:val="right"/>
              <w:rPr>
                <w:sz w:val="20"/>
                <w:szCs w:val="20"/>
              </w:rPr>
            </w:pPr>
            <w:r>
              <w:rPr>
                <w:sz w:val="20"/>
                <w:szCs w:val="20"/>
              </w:rPr>
              <w:t>0.521</w:t>
            </w:r>
          </w:p>
        </w:tc>
        <w:tc>
          <w:tcPr>
            <w:tcW w:w="0" w:type="auto"/>
            <w:tcBorders>
              <w:bottom w:val="single" w:sz="4" w:space="0" w:color="auto"/>
            </w:tcBorders>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Borders>
              <w:bottom w:val="single" w:sz="4" w:space="0" w:color="auto"/>
            </w:tcBorders>
            <w:tcMar>
              <w:top w:w="15" w:type="dxa"/>
              <w:left w:w="15" w:type="dxa"/>
              <w:bottom w:w="15" w:type="dxa"/>
              <w:right w:w="15" w:type="dxa"/>
            </w:tcMar>
            <w:vAlign w:val="center"/>
            <w:hideMark/>
          </w:tcPr>
          <w:p w:rsidR="001331F3" w:rsidRDefault="001331F3">
            <w:pPr>
              <w:jc w:val="right"/>
              <w:rPr>
                <w:sz w:val="20"/>
                <w:szCs w:val="20"/>
              </w:rPr>
            </w:pPr>
            <w:r>
              <w:rPr>
                <w:sz w:val="20"/>
                <w:szCs w:val="20"/>
              </w:rPr>
              <w:t>0.272</w:t>
            </w:r>
          </w:p>
        </w:tc>
        <w:tc>
          <w:tcPr>
            <w:tcW w:w="0" w:type="auto"/>
            <w:tcBorders>
              <w:bottom w:val="single" w:sz="4" w:space="0" w:color="auto"/>
            </w:tcBorders>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Borders>
              <w:bottom w:val="single" w:sz="4" w:space="0" w:color="auto"/>
            </w:tcBorders>
            <w:tcMar>
              <w:top w:w="15" w:type="dxa"/>
              <w:left w:w="15" w:type="dxa"/>
              <w:bottom w:w="15" w:type="dxa"/>
              <w:right w:w="15" w:type="dxa"/>
            </w:tcMar>
            <w:vAlign w:val="center"/>
            <w:hideMark/>
          </w:tcPr>
          <w:p w:rsidR="001331F3" w:rsidRDefault="001331F3">
            <w:pPr>
              <w:jc w:val="right"/>
              <w:rPr>
                <w:sz w:val="20"/>
                <w:szCs w:val="20"/>
              </w:rPr>
            </w:pPr>
            <w:r>
              <w:rPr>
                <w:sz w:val="20"/>
                <w:szCs w:val="20"/>
              </w:rPr>
              <w:t>0.257</w:t>
            </w:r>
          </w:p>
        </w:tc>
        <w:tc>
          <w:tcPr>
            <w:tcW w:w="0" w:type="auto"/>
            <w:tcBorders>
              <w:bottom w:val="single" w:sz="4" w:space="0" w:color="auto"/>
            </w:tcBorders>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Borders>
              <w:bottom w:val="single" w:sz="4" w:space="0" w:color="auto"/>
            </w:tcBorders>
            <w:tcMar>
              <w:top w:w="15" w:type="dxa"/>
              <w:left w:w="15" w:type="dxa"/>
              <w:bottom w:w="15" w:type="dxa"/>
              <w:right w:w="15" w:type="dxa"/>
            </w:tcMar>
            <w:vAlign w:val="center"/>
            <w:hideMark/>
          </w:tcPr>
          <w:p w:rsidR="001331F3" w:rsidRDefault="001331F3">
            <w:pPr>
              <w:jc w:val="right"/>
              <w:rPr>
                <w:sz w:val="20"/>
                <w:szCs w:val="20"/>
              </w:rPr>
            </w:pPr>
            <w:r>
              <w:rPr>
                <w:sz w:val="20"/>
                <w:szCs w:val="20"/>
              </w:rPr>
              <w:t>4.172</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r>
      <w:tr w:rsidR="001331F3" w:rsidTr="00737976">
        <w:trPr>
          <w:trHeight w:val="22"/>
        </w:trPr>
        <w:tc>
          <w:tcPr>
            <w:tcW w:w="9237" w:type="dxa"/>
            <w:gridSpan w:val="10"/>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r>
    </w:tbl>
    <w:p w:rsidR="001331F3" w:rsidRDefault="001331F3" w:rsidP="001331F3">
      <w:pPr>
        <w:rPr>
          <w:sz w:val="20"/>
          <w:szCs w:val="20"/>
        </w:rPr>
      </w:pPr>
    </w:p>
    <w:p w:rsidR="001331F3" w:rsidRDefault="001331F3" w:rsidP="001331F3">
      <w:pPr>
        <w:ind w:firstLine="720"/>
        <w:jc w:val="both"/>
        <w:rPr>
          <w:sz w:val="20"/>
          <w:szCs w:val="20"/>
        </w:rPr>
      </w:pPr>
      <w:r>
        <w:rPr>
          <w:bCs/>
          <w:sz w:val="20"/>
          <w:szCs w:val="20"/>
        </w:rPr>
        <w:t>Hasil dari analisis tabel regresi korelasi berganda menunjukkan bahwa sumbangan efektif yang diberikan oleh religiusitas dan dukungan sosial secara bersama-sama mencapai 27.2% terhadap fenomena kecemasan menghadapi kematian dari sampel penelitian (R²=0.272). Sebanyak 72.8% sisanya dipengaruhi oleh faktor-faktor lain yang tidak termasuk dalam variabel religiusitas dan dukungan sosial. Kemudian, uji regresi linier berganda berdasarkan ANOVA dilakukan untuk mengonfirmasi temuan tersebut .</w:t>
      </w:r>
    </w:p>
    <w:p w:rsidR="001331F3" w:rsidRDefault="001331F3" w:rsidP="001331F3">
      <w:pPr>
        <w:rPr>
          <w:sz w:val="20"/>
          <w:szCs w:val="20"/>
        </w:rPr>
      </w:pPr>
    </w:p>
    <w:tbl>
      <w:tblPr>
        <w:tblW w:w="9243" w:type="dxa"/>
        <w:tblBorders>
          <w:bottom w:val="single" w:sz="4" w:space="0" w:color="auto"/>
        </w:tblBorders>
        <w:tblLook w:val="04A0"/>
      </w:tblPr>
      <w:tblGrid>
        <w:gridCol w:w="1700"/>
        <w:gridCol w:w="239"/>
        <w:gridCol w:w="1699"/>
        <w:gridCol w:w="67"/>
        <w:gridCol w:w="1442"/>
        <w:gridCol w:w="67"/>
        <w:gridCol w:w="426"/>
        <w:gridCol w:w="67"/>
        <w:gridCol w:w="1257"/>
        <w:gridCol w:w="67"/>
        <w:gridCol w:w="1073"/>
        <w:gridCol w:w="67"/>
        <w:gridCol w:w="1005"/>
        <w:gridCol w:w="67"/>
      </w:tblGrid>
      <w:tr w:rsidR="001331F3" w:rsidTr="00737976">
        <w:trPr>
          <w:trHeight w:val="278"/>
          <w:tblHeader/>
        </w:trPr>
        <w:tc>
          <w:tcPr>
            <w:tcW w:w="9243" w:type="dxa"/>
            <w:gridSpan w:val="14"/>
            <w:tcBorders>
              <w:bottom w:val="single" w:sz="4" w:space="0" w:color="auto"/>
            </w:tcBorders>
            <w:tcMar>
              <w:top w:w="15" w:type="dxa"/>
              <w:left w:w="15" w:type="dxa"/>
              <w:bottom w:w="15" w:type="dxa"/>
              <w:right w:w="15" w:type="dxa"/>
            </w:tcMar>
            <w:vAlign w:val="center"/>
            <w:hideMark/>
          </w:tcPr>
          <w:p w:rsidR="001331F3" w:rsidRDefault="001331F3">
            <w:pPr>
              <w:rPr>
                <w:b/>
                <w:bCs/>
                <w:sz w:val="20"/>
                <w:szCs w:val="20"/>
              </w:rPr>
            </w:pPr>
            <w:r>
              <w:rPr>
                <w:b/>
                <w:bCs/>
                <w:sz w:val="20"/>
                <w:szCs w:val="20"/>
              </w:rPr>
              <w:t xml:space="preserve">ANOVA </w:t>
            </w:r>
          </w:p>
        </w:tc>
      </w:tr>
      <w:tr w:rsidR="001331F3" w:rsidTr="00737976">
        <w:trPr>
          <w:trHeight w:val="278"/>
          <w:tblHeader/>
        </w:trPr>
        <w:tc>
          <w:tcPr>
            <w:tcW w:w="1048" w:type="dxa"/>
            <w:gridSpan w:val="2"/>
            <w:tcBorders>
              <w:top w:val="single" w:sz="4" w:space="0" w:color="auto"/>
              <w:bottom w:val="single" w:sz="4" w:space="0" w:color="auto"/>
            </w:tcBorders>
            <w:tcMar>
              <w:top w:w="15" w:type="dxa"/>
              <w:left w:w="15" w:type="dxa"/>
              <w:bottom w:w="15" w:type="dxa"/>
              <w:right w:w="15" w:type="dxa"/>
            </w:tcMar>
            <w:vAlign w:val="center"/>
            <w:hideMark/>
          </w:tcPr>
          <w:p w:rsidR="001331F3" w:rsidRDefault="001331F3">
            <w:pPr>
              <w:jc w:val="center"/>
              <w:rPr>
                <w:b/>
                <w:bCs/>
                <w:sz w:val="20"/>
                <w:szCs w:val="20"/>
              </w:rPr>
            </w:pPr>
            <w:r>
              <w:rPr>
                <w:b/>
                <w:bCs/>
                <w:sz w:val="20"/>
                <w:szCs w:val="20"/>
              </w:rPr>
              <w:t>Model</w:t>
            </w:r>
          </w:p>
        </w:tc>
        <w:tc>
          <w:tcPr>
            <w:tcW w:w="0" w:type="auto"/>
            <w:gridSpan w:val="2"/>
            <w:tcBorders>
              <w:top w:val="single" w:sz="4" w:space="0" w:color="auto"/>
              <w:bottom w:val="single" w:sz="4" w:space="0" w:color="auto"/>
            </w:tcBorders>
            <w:tcMar>
              <w:top w:w="15" w:type="dxa"/>
              <w:left w:w="15" w:type="dxa"/>
              <w:bottom w:w="15" w:type="dxa"/>
              <w:right w:w="15" w:type="dxa"/>
            </w:tcMar>
            <w:vAlign w:val="center"/>
            <w:hideMark/>
          </w:tcPr>
          <w:p w:rsidR="001331F3" w:rsidRDefault="001331F3">
            <w:pPr>
              <w:jc w:val="center"/>
              <w:rPr>
                <w:b/>
                <w:bCs/>
                <w:sz w:val="20"/>
                <w:szCs w:val="20"/>
              </w:rPr>
            </w:pPr>
            <w:r>
              <w:rPr>
                <w:b/>
                <w:bCs/>
                <w:sz w:val="20"/>
                <w:szCs w:val="20"/>
              </w:rPr>
              <w:t> </w:t>
            </w:r>
          </w:p>
        </w:tc>
        <w:tc>
          <w:tcPr>
            <w:tcW w:w="0" w:type="auto"/>
            <w:gridSpan w:val="2"/>
            <w:tcBorders>
              <w:top w:val="single" w:sz="4" w:space="0" w:color="auto"/>
              <w:bottom w:val="single" w:sz="4" w:space="0" w:color="auto"/>
            </w:tcBorders>
            <w:tcMar>
              <w:top w:w="15" w:type="dxa"/>
              <w:left w:w="15" w:type="dxa"/>
              <w:bottom w:w="15" w:type="dxa"/>
              <w:right w:w="15" w:type="dxa"/>
            </w:tcMar>
            <w:vAlign w:val="center"/>
            <w:hideMark/>
          </w:tcPr>
          <w:p w:rsidR="001331F3" w:rsidRDefault="001331F3">
            <w:pPr>
              <w:jc w:val="center"/>
              <w:rPr>
                <w:b/>
                <w:bCs/>
                <w:sz w:val="20"/>
                <w:szCs w:val="20"/>
              </w:rPr>
            </w:pPr>
            <w:r>
              <w:rPr>
                <w:b/>
                <w:bCs/>
                <w:sz w:val="20"/>
                <w:szCs w:val="20"/>
              </w:rPr>
              <w:t>Sum of Squares</w:t>
            </w:r>
          </w:p>
        </w:tc>
        <w:tc>
          <w:tcPr>
            <w:tcW w:w="0" w:type="auto"/>
            <w:gridSpan w:val="2"/>
            <w:tcBorders>
              <w:top w:val="single" w:sz="4" w:space="0" w:color="auto"/>
              <w:bottom w:val="single" w:sz="4" w:space="0" w:color="auto"/>
            </w:tcBorders>
            <w:tcMar>
              <w:top w:w="15" w:type="dxa"/>
              <w:left w:w="15" w:type="dxa"/>
              <w:bottom w:w="15" w:type="dxa"/>
              <w:right w:w="15" w:type="dxa"/>
            </w:tcMar>
            <w:vAlign w:val="center"/>
            <w:hideMark/>
          </w:tcPr>
          <w:p w:rsidR="001331F3" w:rsidRDefault="001331F3">
            <w:pPr>
              <w:jc w:val="center"/>
              <w:rPr>
                <w:b/>
                <w:bCs/>
                <w:sz w:val="20"/>
                <w:szCs w:val="20"/>
              </w:rPr>
            </w:pPr>
            <w:r>
              <w:rPr>
                <w:b/>
                <w:bCs/>
                <w:sz w:val="20"/>
                <w:szCs w:val="20"/>
              </w:rPr>
              <w:t>df</w:t>
            </w:r>
          </w:p>
        </w:tc>
        <w:tc>
          <w:tcPr>
            <w:tcW w:w="0" w:type="auto"/>
            <w:gridSpan w:val="2"/>
            <w:tcBorders>
              <w:top w:val="single" w:sz="4" w:space="0" w:color="auto"/>
              <w:bottom w:val="single" w:sz="4" w:space="0" w:color="auto"/>
            </w:tcBorders>
            <w:tcMar>
              <w:top w:w="15" w:type="dxa"/>
              <w:left w:w="15" w:type="dxa"/>
              <w:bottom w:w="15" w:type="dxa"/>
              <w:right w:w="15" w:type="dxa"/>
            </w:tcMar>
            <w:vAlign w:val="center"/>
            <w:hideMark/>
          </w:tcPr>
          <w:p w:rsidR="001331F3" w:rsidRDefault="001331F3">
            <w:pPr>
              <w:jc w:val="center"/>
              <w:rPr>
                <w:b/>
                <w:bCs/>
                <w:sz w:val="20"/>
                <w:szCs w:val="20"/>
              </w:rPr>
            </w:pPr>
            <w:r>
              <w:rPr>
                <w:b/>
                <w:bCs/>
                <w:sz w:val="20"/>
                <w:szCs w:val="20"/>
              </w:rPr>
              <w:t>Mean Square</w:t>
            </w:r>
          </w:p>
        </w:tc>
        <w:tc>
          <w:tcPr>
            <w:tcW w:w="0" w:type="auto"/>
            <w:gridSpan w:val="2"/>
            <w:tcBorders>
              <w:top w:val="single" w:sz="4" w:space="0" w:color="auto"/>
              <w:bottom w:val="single" w:sz="4" w:space="0" w:color="auto"/>
            </w:tcBorders>
            <w:tcMar>
              <w:top w:w="15" w:type="dxa"/>
              <w:left w:w="15" w:type="dxa"/>
              <w:bottom w:w="15" w:type="dxa"/>
              <w:right w:w="15" w:type="dxa"/>
            </w:tcMar>
            <w:vAlign w:val="center"/>
            <w:hideMark/>
          </w:tcPr>
          <w:p w:rsidR="001331F3" w:rsidRDefault="001331F3">
            <w:pPr>
              <w:jc w:val="center"/>
              <w:rPr>
                <w:b/>
                <w:bCs/>
                <w:sz w:val="20"/>
                <w:szCs w:val="20"/>
              </w:rPr>
            </w:pPr>
            <w:r>
              <w:rPr>
                <w:b/>
                <w:bCs/>
                <w:sz w:val="20"/>
                <w:szCs w:val="20"/>
              </w:rPr>
              <w:t>F</w:t>
            </w:r>
          </w:p>
        </w:tc>
        <w:tc>
          <w:tcPr>
            <w:tcW w:w="0" w:type="auto"/>
            <w:gridSpan w:val="2"/>
            <w:tcBorders>
              <w:top w:val="single" w:sz="4" w:space="0" w:color="auto"/>
              <w:bottom w:val="single" w:sz="4" w:space="0" w:color="auto"/>
            </w:tcBorders>
            <w:tcMar>
              <w:top w:w="15" w:type="dxa"/>
              <w:left w:w="15" w:type="dxa"/>
              <w:bottom w:w="15" w:type="dxa"/>
              <w:right w:w="15" w:type="dxa"/>
            </w:tcMar>
            <w:vAlign w:val="center"/>
            <w:hideMark/>
          </w:tcPr>
          <w:p w:rsidR="001331F3" w:rsidRDefault="001331F3">
            <w:pPr>
              <w:jc w:val="center"/>
              <w:rPr>
                <w:b/>
                <w:bCs/>
                <w:sz w:val="20"/>
                <w:szCs w:val="20"/>
              </w:rPr>
            </w:pPr>
            <w:r>
              <w:rPr>
                <w:b/>
                <w:bCs/>
                <w:sz w:val="20"/>
                <w:szCs w:val="20"/>
              </w:rPr>
              <w:t>P</w:t>
            </w:r>
          </w:p>
        </w:tc>
      </w:tr>
      <w:tr w:rsidR="001331F3" w:rsidTr="00737976">
        <w:trPr>
          <w:trHeight w:val="278"/>
        </w:trPr>
        <w:tc>
          <w:tcPr>
            <w:tcW w:w="919" w:type="dxa"/>
            <w:tcBorders>
              <w:top w:val="single" w:sz="4" w:space="0" w:color="auto"/>
            </w:tcBorders>
            <w:tcMar>
              <w:top w:w="15" w:type="dxa"/>
              <w:left w:w="15" w:type="dxa"/>
              <w:bottom w:w="15" w:type="dxa"/>
              <w:right w:w="15" w:type="dxa"/>
            </w:tcMar>
            <w:vAlign w:val="center"/>
            <w:hideMark/>
          </w:tcPr>
          <w:p w:rsidR="001331F3" w:rsidRDefault="001331F3">
            <w:pPr>
              <w:rPr>
                <w:sz w:val="20"/>
                <w:szCs w:val="20"/>
              </w:rPr>
            </w:pPr>
            <w:r>
              <w:rPr>
                <w:sz w:val="20"/>
                <w:szCs w:val="20"/>
              </w:rPr>
              <w:t>H</w:t>
            </w:r>
            <w:r>
              <w:rPr>
                <w:rFonts w:ascii="Cambria Math" w:hAnsi="Cambria Math"/>
                <w:sz w:val="20"/>
                <w:szCs w:val="20"/>
              </w:rPr>
              <w:t>₁</w:t>
            </w:r>
          </w:p>
        </w:tc>
        <w:tc>
          <w:tcPr>
            <w:tcW w:w="0" w:type="auto"/>
            <w:tcBorders>
              <w:top w:val="single" w:sz="4" w:space="0" w:color="auto"/>
            </w:tcBorders>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Borders>
              <w:top w:val="single" w:sz="4" w:space="0" w:color="auto"/>
            </w:tcBorders>
            <w:tcMar>
              <w:top w:w="15" w:type="dxa"/>
              <w:left w:w="15" w:type="dxa"/>
              <w:bottom w:w="15" w:type="dxa"/>
              <w:right w:w="15" w:type="dxa"/>
            </w:tcMar>
            <w:vAlign w:val="center"/>
            <w:hideMark/>
          </w:tcPr>
          <w:p w:rsidR="001331F3" w:rsidRDefault="001331F3">
            <w:pPr>
              <w:rPr>
                <w:sz w:val="20"/>
                <w:szCs w:val="20"/>
              </w:rPr>
            </w:pPr>
            <w:r>
              <w:rPr>
                <w:sz w:val="20"/>
                <w:szCs w:val="20"/>
              </w:rPr>
              <w:t>Regression</w:t>
            </w:r>
          </w:p>
        </w:tc>
        <w:tc>
          <w:tcPr>
            <w:tcW w:w="0" w:type="auto"/>
            <w:tcBorders>
              <w:top w:val="single" w:sz="4" w:space="0" w:color="auto"/>
            </w:tcBorders>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Borders>
              <w:top w:val="single" w:sz="4" w:space="0" w:color="auto"/>
            </w:tcBorders>
            <w:tcMar>
              <w:top w:w="15" w:type="dxa"/>
              <w:left w:w="15" w:type="dxa"/>
              <w:bottom w:w="15" w:type="dxa"/>
              <w:right w:w="15" w:type="dxa"/>
            </w:tcMar>
            <w:vAlign w:val="center"/>
            <w:hideMark/>
          </w:tcPr>
          <w:p w:rsidR="001331F3" w:rsidRDefault="001331F3">
            <w:pPr>
              <w:jc w:val="right"/>
              <w:rPr>
                <w:sz w:val="20"/>
                <w:szCs w:val="20"/>
              </w:rPr>
            </w:pPr>
            <w:r>
              <w:rPr>
                <w:sz w:val="20"/>
                <w:szCs w:val="20"/>
              </w:rPr>
              <w:t>629.949</w:t>
            </w:r>
          </w:p>
        </w:tc>
        <w:tc>
          <w:tcPr>
            <w:tcW w:w="0" w:type="auto"/>
            <w:tcBorders>
              <w:top w:val="single" w:sz="4" w:space="0" w:color="auto"/>
            </w:tcBorders>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Borders>
              <w:top w:val="single" w:sz="4" w:space="0" w:color="auto"/>
            </w:tcBorders>
            <w:tcMar>
              <w:top w:w="15" w:type="dxa"/>
              <w:left w:w="15" w:type="dxa"/>
              <w:bottom w:w="15" w:type="dxa"/>
              <w:right w:w="15" w:type="dxa"/>
            </w:tcMar>
            <w:vAlign w:val="center"/>
            <w:hideMark/>
          </w:tcPr>
          <w:p w:rsidR="001331F3" w:rsidRDefault="001331F3">
            <w:pPr>
              <w:jc w:val="right"/>
              <w:rPr>
                <w:sz w:val="20"/>
                <w:szCs w:val="20"/>
              </w:rPr>
            </w:pPr>
            <w:r>
              <w:rPr>
                <w:sz w:val="20"/>
                <w:szCs w:val="20"/>
              </w:rPr>
              <w:t>2</w:t>
            </w:r>
          </w:p>
        </w:tc>
        <w:tc>
          <w:tcPr>
            <w:tcW w:w="0" w:type="auto"/>
            <w:tcBorders>
              <w:top w:val="single" w:sz="4" w:space="0" w:color="auto"/>
            </w:tcBorders>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Borders>
              <w:top w:val="single" w:sz="4" w:space="0" w:color="auto"/>
            </w:tcBorders>
            <w:tcMar>
              <w:top w:w="15" w:type="dxa"/>
              <w:left w:w="15" w:type="dxa"/>
              <w:bottom w:w="15" w:type="dxa"/>
              <w:right w:w="15" w:type="dxa"/>
            </w:tcMar>
            <w:vAlign w:val="center"/>
            <w:hideMark/>
          </w:tcPr>
          <w:p w:rsidR="001331F3" w:rsidRDefault="001331F3">
            <w:pPr>
              <w:jc w:val="right"/>
              <w:rPr>
                <w:sz w:val="20"/>
                <w:szCs w:val="20"/>
              </w:rPr>
            </w:pPr>
            <w:r>
              <w:rPr>
                <w:sz w:val="20"/>
                <w:szCs w:val="20"/>
              </w:rPr>
              <w:t>314.974</w:t>
            </w:r>
          </w:p>
        </w:tc>
        <w:tc>
          <w:tcPr>
            <w:tcW w:w="0" w:type="auto"/>
            <w:tcBorders>
              <w:top w:val="single" w:sz="4" w:space="0" w:color="auto"/>
            </w:tcBorders>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Borders>
              <w:top w:val="single" w:sz="4" w:space="0" w:color="auto"/>
            </w:tcBorders>
            <w:tcMar>
              <w:top w:w="15" w:type="dxa"/>
              <w:left w:w="15" w:type="dxa"/>
              <w:bottom w:w="15" w:type="dxa"/>
              <w:right w:w="15" w:type="dxa"/>
            </w:tcMar>
            <w:vAlign w:val="center"/>
            <w:hideMark/>
          </w:tcPr>
          <w:p w:rsidR="001331F3" w:rsidRDefault="001331F3">
            <w:pPr>
              <w:jc w:val="right"/>
              <w:rPr>
                <w:sz w:val="20"/>
                <w:szCs w:val="20"/>
              </w:rPr>
            </w:pPr>
            <w:r>
              <w:rPr>
                <w:sz w:val="20"/>
                <w:szCs w:val="20"/>
              </w:rPr>
              <w:t>18.097</w:t>
            </w:r>
          </w:p>
        </w:tc>
        <w:tc>
          <w:tcPr>
            <w:tcW w:w="0" w:type="auto"/>
            <w:tcBorders>
              <w:top w:val="single" w:sz="4" w:space="0" w:color="auto"/>
            </w:tcBorders>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Borders>
              <w:top w:val="single" w:sz="4" w:space="0" w:color="auto"/>
            </w:tcBorders>
            <w:tcMar>
              <w:top w:w="15" w:type="dxa"/>
              <w:left w:w="15" w:type="dxa"/>
              <w:bottom w:w="15" w:type="dxa"/>
              <w:right w:w="15" w:type="dxa"/>
            </w:tcMar>
            <w:vAlign w:val="center"/>
            <w:hideMark/>
          </w:tcPr>
          <w:p w:rsidR="001331F3" w:rsidRDefault="001331F3">
            <w:pPr>
              <w:jc w:val="right"/>
              <w:rPr>
                <w:sz w:val="20"/>
                <w:szCs w:val="20"/>
              </w:rPr>
            </w:pPr>
            <w:r>
              <w:rPr>
                <w:sz w:val="20"/>
                <w:szCs w:val="20"/>
              </w:rPr>
              <w:t>&lt; .001</w:t>
            </w:r>
          </w:p>
        </w:tc>
        <w:tc>
          <w:tcPr>
            <w:tcW w:w="0" w:type="auto"/>
            <w:tcBorders>
              <w:top w:val="single" w:sz="4" w:space="0" w:color="auto"/>
            </w:tcBorders>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r>
      <w:tr w:rsidR="001331F3" w:rsidTr="00737976">
        <w:trPr>
          <w:trHeight w:val="278"/>
        </w:trPr>
        <w:tc>
          <w:tcPr>
            <w:tcW w:w="919" w:type="dxa"/>
            <w:tcMar>
              <w:top w:w="15" w:type="dxa"/>
              <w:left w:w="15" w:type="dxa"/>
              <w:bottom w:w="15" w:type="dxa"/>
              <w:right w:w="15" w:type="dxa"/>
            </w:tcMar>
            <w:vAlign w:val="center"/>
            <w:hideMark/>
          </w:tcPr>
          <w:p w:rsidR="001331F3" w:rsidRDefault="001331F3">
            <w:pPr>
              <w:rPr>
                <w:sz w:val="20"/>
                <w:szCs w:val="20"/>
              </w:rPr>
            </w:pPr>
            <w:r>
              <w:rPr>
                <w:sz w:val="20"/>
                <w:szCs w:val="20"/>
              </w:rPr>
              <w:t> </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rPr>
                <w:sz w:val="20"/>
                <w:szCs w:val="20"/>
              </w:rPr>
            </w:pPr>
            <w:r>
              <w:rPr>
                <w:sz w:val="20"/>
                <w:szCs w:val="20"/>
              </w:rPr>
              <w:t>Residual</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jc w:val="right"/>
              <w:rPr>
                <w:sz w:val="20"/>
                <w:szCs w:val="20"/>
              </w:rPr>
            </w:pPr>
            <w:r>
              <w:rPr>
                <w:sz w:val="20"/>
                <w:szCs w:val="20"/>
              </w:rPr>
              <w:t>1688.241</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jc w:val="right"/>
              <w:rPr>
                <w:sz w:val="20"/>
                <w:szCs w:val="20"/>
              </w:rPr>
            </w:pPr>
            <w:r>
              <w:rPr>
                <w:sz w:val="20"/>
                <w:szCs w:val="20"/>
              </w:rPr>
              <w:t>97</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jc w:val="right"/>
              <w:rPr>
                <w:sz w:val="20"/>
                <w:szCs w:val="20"/>
              </w:rPr>
            </w:pPr>
            <w:r>
              <w:rPr>
                <w:sz w:val="20"/>
                <w:szCs w:val="20"/>
              </w:rPr>
              <w:t>17.405</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jc w:val="right"/>
              <w:rPr>
                <w:sz w:val="20"/>
                <w:szCs w:val="20"/>
              </w:rPr>
            </w:pPr>
            <w:r>
              <w:rPr>
                <w:sz w:val="20"/>
                <w:szCs w:val="20"/>
              </w:rPr>
              <w:t> </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r>
      <w:tr w:rsidR="001331F3" w:rsidTr="00737976">
        <w:trPr>
          <w:trHeight w:val="298"/>
        </w:trPr>
        <w:tc>
          <w:tcPr>
            <w:tcW w:w="919" w:type="dxa"/>
            <w:tcMar>
              <w:top w:w="15" w:type="dxa"/>
              <w:left w:w="15" w:type="dxa"/>
              <w:bottom w:w="15" w:type="dxa"/>
              <w:right w:w="15" w:type="dxa"/>
            </w:tcMar>
            <w:vAlign w:val="center"/>
            <w:hideMark/>
          </w:tcPr>
          <w:p w:rsidR="001331F3" w:rsidRDefault="001331F3">
            <w:pPr>
              <w:rPr>
                <w:sz w:val="20"/>
                <w:szCs w:val="20"/>
              </w:rPr>
            </w:pPr>
            <w:r>
              <w:rPr>
                <w:sz w:val="20"/>
                <w:szCs w:val="20"/>
              </w:rPr>
              <w:t> </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rPr>
                <w:sz w:val="20"/>
                <w:szCs w:val="20"/>
              </w:rPr>
            </w:pPr>
            <w:r>
              <w:rPr>
                <w:sz w:val="20"/>
                <w:szCs w:val="20"/>
              </w:rPr>
              <w:t>Total</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jc w:val="right"/>
              <w:rPr>
                <w:sz w:val="20"/>
                <w:szCs w:val="20"/>
              </w:rPr>
            </w:pPr>
            <w:r>
              <w:rPr>
                <w:sz w:val="20"/>
                <w:szCs w:val="20"/>
              </w:rPr>
              <w:t>2318.190</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jc w:val="right"/>
              <w:rPr>
                <w:sz w:val="20"/>
                <w:szCs w:val="20"/>
              </w:rPr>
            </w:pPr>
            <w:r>
              <w:rPr>
                <w:sz w:val="20"/>
                <w:szCs w:val="20"/>
              </w:rPr>
              <w:t>99</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jc w:val="right"/>
              <w:rPr>
                <w:sz w:val="20"/>
                <w:szCs w:val="20"/>
              </w:rPr>
            </w:pPr>
            <w:r>
              <w:rPr>
                <w:sz w:val="20"/>
                <w:szCs w:val="20"/>
              </w:rPr>
              <w:t> </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r>
      <w:tr w:rsidR="001331F3" w:rsidTr="00737976">
        <w:trPr>
          <w:trHeight w:val="20"/>
        </w:trPr>
        <w:tc>
          <w:tcPr>
            <w:tcW w:w="9243" w:type="dxa"/>
            <w:gridSpan w:val="14"/>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r>
      <w:tr w:rsidR="001331F3" w:rsidTr="00737976">
        <w:trPr>
          <w:trHeight w:val="278"/>
        </w:trPr>
        <w:tc>
          <w:tcPr>
            <w:tcW w:w="9243" w:type="dxa"/>
            <w:gridSpan w:val="14"/>
            <w:tcMar>
              <w:top w:w="15" w:type="dxa"/>
              <w:left w:w="15" w:type="dxa"/>
              <w:bottom w:w="15" w:type="dxa"/>
              <w:right w:w="15" w:type="dxa"/>
            </w:tcMar>
            <w:vAlign w:val="center"/>
            <w:hideMark/>
          </w:tcPr>
          <w:p w:rsidR="001331F3" w:rsidRDefault="001331F3">
            <w:pPr>
              <w:rPr>
                <w:sz w:val="20"/>
                <w:szCs w:val="20"/>
              </w:rPr>
            </w:pPr>
            <w:r>
              <w:rPr>
                <w:sz w:val="20"/>
                <w:szCs w:val="20"/>
              </w:rPr>
              <w:t>.</w:t>
            </w:r>
          </w:p>
        </w:tc>
      </w:tr>
    </w:tbl>
    <w:p w:rsidR="00737976" w:rsidRDefault="00737976" w:rsidP="001331F3">
      <w:pPr>
        <w:ind w:firstLine="720"/>
        <w:jc w:val="both"/>
        <w:rPr>
          <w:bCs/>
          <w:sz w:val="20"/>
          <w:szCs w:val="20"/>
        </w:rPr>
      </w:pPr>
    </w:p>
    <w:p w:rsidR="001331F3" w:rsidRDefault="001331F3" w:rsidP="001331F3">
      <w:pPr>
        <w:ind w:firstLine="720"/>
        <w:jc w:val="both"/>
        <w:rPr>
          <w:bCs/>
          <w:sz w:val="20"/>
          <w:szCs w:val="20"/>
        </w:rPr>
      </w:pPr>
      <w:r>
        <w:rPr>
          <w:bCs/>
          <w:sz w:val="20"/>
          <w:szCs w:val="20"/>
        </w:rPr>
        <w:t>Uji F digunakan untuk menilai apakah terdapat pengaruh secara bersama-sama antara variabel X dan variabel Y. Persyaratan yang harus dipenuhi dalam uji F adalah bahwa nilai signifikansi harus kurang dari 0.05, menandakan bahwa variabel X secara bersama-sama berpengaruh terhadap variabel Y. Hasil uji F dapat ditemukan dalam tabel ANOVA. Dari tabel tersebut, terlihat bahwa tingkat signifikansi p&lt;0.001, yang menunjukkan nilai yang jauh lebih rendah dari persyaratan uji F sebesar 0.05. Dengan demikian, dapat disimpulkan bahwa religiusitas dan dukungan sosial memiliki dampak yang signifikan terhadap tingkat kecemasan menghadapi kematian dari sampel penelitian atau berpengaruh terhadap variabel dependen (Y).</w:t>
      </w:r>
    </w:p>
    <w:p w:rsidR="001331F3" w:rsidRDefault="001331F3" w:rsidP="001331F3">
      <w:pPr>
        <w:ind w:firstLine="720"/>
        <w:jc w:val="both"/>
        <w:rPr>
          <w:bCs/>
          <w:sz w:val="20"/>
          <w:szCs w:val="20"/>
        </w:rPr>
      </w:pPr>
    </w:p>
    <w:tbl>
      <w:tblPr>
        <w:tblW w:w="8867" w:type="dxa"/>
        <w:tblLook w:val="04A0"/>
      </w:tblPr>
      <w:tblGrid>
        <w:gridCol w:w="602"/>
        <w:gridCol w:w="167"/>
        <w:gridCol w:w="1169"/>
        <w:gridCol w:w="48"/>
        <w:gridCol w:w="1758"/>
        <w:gridCol w:w="110"/>
        <w:gridCol w:w="1717"/>
        <w:gridCol w:w="128"/>
        <w:gridCol w:w="1468"/>
        <w:gridCol w:w="103"/>
        <w:gridCol w:w="775"/>
        <w:gridCol w:w="48"/>
        <w:gridCol w:w="726"/>
        <w:gridCol w:w="48"/>
      </w:tblGrid>
      <w:tr w:rsidR="001331F3" w:rsidTr="001331F3">
        <w:trPr>
          <w:trHeight w:val="299"/>
          <w:tblHeader/>
        </w:trPr>
        <w:tc>
          <w:tcPr>
            <w:tcW w:w="0" w:type="auto"/>
            <w:gridSpan w:val="14"/>
            <w:tcBorders>
              <w:top w:val="nil"/>
              <w:left w:val="nil"/>
              <w:bottom w:val="single" w:sz="6" w:space="0" w:color="000000"/>
              <w:right w:val="nil"/>
            </w:tcBorders>
            <w:tcMar>
              <w:top w:w="15" w:type="dxa"/>
              <w:left w:w="15" w:type="dxa"/>
              <w:bottom w:w="15" w:type="dxa"/>
              <w:right w:w="15" w:type="dxa"/>
            </w:tcMar>
            <w:vAlign w:val="center"/>
            <w:hideMark/>
          </w:tcPr>
          <w:p w:rsidR="001331F3" w:rsidRDefault="001331F3">
            <w:pPr>
              <w:rPr>
                <w:b/>
                <w:bCs/>
                <w:sz w:val="20"/>
                <w:szCs w:val="20"/>
                <w:lang w:eastAsia="id-ID"/>
              </w:rPr>
            </w:pPr>
            <w:r>
              <w:rPr>
                <w:b/>
                <w:bCs/>
                <w:sz w:val="20"/>
                <w:szCs w:val="20"/>
                <w:lang w:eastAsia="id-ID"/>
              </w:rPr>
              <w:t xml:space="preserve">Coefficients </w:t>
            </w:r>
          </w:p>
        </w:tc>
      </w:tr>
      <w:tr w:rsidR="001331F3" w:rsidTr="001331F3">
        <w:trPr>
          <w:trHeight w:val="318"/>
          <w:tblHeader/>
        </w:trPr>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1331F3" w:rsidRDefault="001331F3">
            <w:pPr>
              <w:jc w:val="center"/>
              <w:rPr>
                <w:b/>
                <w:bCs/>
                <w:sz w:val="20"/>
                <w:szCs w:val="20"/>
                <w:lang w:eastAsia="id-ID"/>
              </w:rPr>
            </w:pPr>
            <w:r>
              <w:rPr>
                <w:b/>
                <w:bCs/>
                <w:sz w:val="20"/>
                <w:szCs w:val="20"/>
                <w:lang w:eastAsia="id-ID"/>
              </w:rPr>
              <w:t xml:space="preserve">Model </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1331F3" w:rsidRDefault="001331F3">
            <w:pPr>
              <w:jc w:val="center"/>
              <w:rPr>
                <w:b/>
                <w:bCs/>
                <w:sz w:val="20"/>
                <w:szCs w:val="20"/>
                <w:lang w:eastAsia="id-ID"/>
              </w:rPr>
            </w:pPr>
            <w:r>
              <w:rPr>
                <w:b/>
                <w:bCs/>
                <w:sz w:val="20"/>
                <w:szCs w:val="20"/>
                <w:lang w:eastAsia="id-ID"/>
              </w:rPr>
              <w:t xml:space="preserve">Unstandardized </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1331F3" w:rsidRDefault="001331F3">
            <w:pPr>
              <w:jc w:val="center"/>
              <w:rPr>
                <w:b/>
                <w:bCs/>
                <w:sz w:val="20"/>
                <w:szCs w:val="20"/>
                <w:lang w:eastAsia="id-ID"/>
              </w:rPr>
            </w:pPr>
            <w:r>
              <w:rPr>
                <w:b/>
                <w:bCs/>
                <w:sz w:val="20"/>
                <w:szCs w:val="20"/>
                <w:lang w:eastAsia="id-ID"/>
              </w:rPr>
              <w:t xml:space="preserve">Standard Error </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1331F3" w:rsidRDefault="001331F3">
            <w:pPr>
              <w:jc w:val="center"/>
              <w:rPr>
                <w:b/>
                <w:bCs/>
                <w:sz w:val="20"/>
                <w:szCs w:val="20"/>
                <w:lang w:eastAsia="id-ID"/>
              </w:rPr>
            </w:pPr>
            <w:r>
              <w:rPr>
                <w:b/>
                <w:bCs/>
                <w:sz w:val="20"/>
                <w:szCs w:val="20"/>
                <w:lang w:eastAsia="id-ID"/>
              </w:rPr>
              <w:t xml:space="preserve">Standardized </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1331F3" w:rsidRDefault="001331F3">
            <w:pPr>
              <w:jc w:val="center"/>
              <w:rPr>
                <w:b/>
                <w:bCs/>
                <w:sz w:val="20"/>
                <w:szCs w:val="20"/>
                <w:lang w:eastAsia="id-ID"/>
              </w:rPr>
            </w:pPr>
            <w:r>
              <w:rPr>
                <w:b/>
                <w:bCs/>
                <w:sz w:val="20"/>
                <w:szCs w:val="20"/>
                <w:lang w:eastAsia="id-ID"/>
              </w:rPr>
              <w:t xml:space="preserve">t </w:t>
            </w:r>
          </w:p>
        </w:tc>
        <w:tc>
          <w:tcPr>
            <w:tcW w:w="0" w:type="auto"/>
            <w:gridSpan w:val="2"/>
            <w:tcBorders>
              <w:top w:val="nil"/>
              <w:left w:val="nil"/>
              <w:bottom w:val="single" w:sz="6" w:space="0" w:color="000000"/>
              <w:right w:val="nil"/>
            </w:tcBorders>
            <w:tcMar>
              <w:top w:w="15" w:type="dxa"/>
              <w:left w:w="15" w:type="dxa"/>
              <w:bottom w:w="15" w:type="dxa"/>
              <w:right w:w="15" w:type="dxa"/>
            </w:tcMar>
            <w:vAlign w:val="center"/>
            <w:hideMark/>
          </w:tcPr>
          <w:p w:rsidR="001331F3" w:rsidRDefault="001331F3">
            <w:pPr>
              <w:jc w:val="center"/>
              <w:rPr>
                <w:b/>
                <w:bCs/>
                <w:sz w:val="20"/>
                <w:szCs w:val="20"/>
                <w:lang w:eastAsia="id-ID"/>
              </w:rPr>
            </w:pPr>
            <w:r>
              <w:rPr>
                <w:b/>
                <w:bCs/>
                <w:sz w:val="20"/>
                <w:szCs w:val="20"/>
                <w:lang w:eastAsia="id-ID"/>
              </w:rPr>
              <w:t xml:space="preserve">p </w:t>
            </w:r>
          </w:p>
        </w:tc>
      </w:tr>
      <w:tr w:rsidR="001331F3" w:rsidTr="001331F3">
        <w:trPr>
          <w:trHeight w:val="299"/>
        </w:trPr>
        <w:tc>
          <w:tcPr>
            <w:tcW w:w="0" w:type="auto"/>
            <w:tcMar>
              <w:top w:w="15" w:type="dxa"/>
              <w:left w:w="15" w:type="dxa"/>
              <w:bottom w:w="15" w:type="dxa"/>
              <w:right w:w="15" w:type="dxa"/>
            </w:tcMar>
            <w:vAlign w:val="center"/>
            <w:hideMark/>
          </w:tcPr>
          <w:p w:rsidR="001331F3" w:rsidRDefault="001331F3">
            <w:pPr>
              <w:jc w:val="right"/>
              <w:rPr>
                <w:sz w:val="20"/>
                <w:szCs w:val="20"/>
                <w:lang w:eastAsia="id-ID"/>
              </w:rPr>
            </w:pPr>
            <w:r>
              <w:rPr>
                <w:sz w:val="20"/>
                <w:szCs w:val="20"/>
                <w:lang w:eastAsia="id-ID"/>
              </w:rPr>
              <w:t xml:space="preserve">1 </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rPr>
                <w:sz w:val="20"/>
                <w:szCs w:val="20"/>
                <w:lang w:eastAsia="id-ID"/>
              </w:rPr>
            </w:pPr>
            <w:r>
              <w:rPr>
                <w:sz w:val="20"/>
                <w:szCs w:val="20"/>
                <w:lang w:eastAsia="id-ID"/>
              </w:rPr>
              <w:t xml:space="preserve">(Intercept) </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jc w:val="right"/>
              <w:rPr>
                <w:sz w:val="20"/>
                <w:szCs w:val="20"/>
                <w:lang w:eastAsia="id-ID"/>
              </w:rPr>
            </w:pPr>
            <w:r>
              <w:rPr>
                <w:sz w:val="20"/>
                <w:szCs w:val="20"/>
                <w:lang w:eastAsia="id-ID"/>
              </w:rPr>
              <w:t xml:space="preserve">86.176 </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jc w:val="right"/>
              <w:rPr>
                <w:sz w:val="20"/>
                <w:szCs w:val="20"/>
                <w:lang w:eastAsia="id-ID"/>
              </w:rPr>
            </w:pPr>
            <w:r>
              <w:rPr>
                <w:sz w:val="20"/>
                <w:szCs w:val="20"/>
                <w:lang w:eastAsia="id-ID"/>
              </w:rPr>
              <w:t xml:space="preserve">5.597 </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jc w:val="right"/>
              <w:rPr>
                <w:sz w:val="20"/>
                <w:szCs w:val="20"/>
                <w:lang w:eastAsia="id-ID"/>
              </w:rPr>
            </w:pPr>
            <w:r>
              <w:rPr>
                <w:sz w:val="20"/>
                <w:szCs w:val="20"/>
                <w:lang w:eastAsia="id-ID"/>
              </w:rPr>
              <w:t xml:space="preserve">15.398 </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jc w:val="right"/>
              <w:rPr>
                <w:sz w:val="20"/>
                <w:szCs w:val="20"/>
                <w:lang w:eastAsia="id-ID"/>
              </w:rPr>
            </w:pPr>
            <w:r>
              <w:rPr>
                <w:sz w:val="20"/>
                <w:szCs w:val="20"/>
                <w:lang w:eastAsia="id-ID"/>
              </w:rPr>
              <w:t xml:space="preserve">&lt; .001 </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r>
      <w:tr w:rsidR="001331F3" w:rsidTr="001331F3">
        <w:trPr>
          <w:trHeight w:val="299"/>
        </w:trPr>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rPr>
                <w:sz w:val="20"/>
                <w:szCs w:val="20"/>
                <w:lang w:eastAsia="id-ID"/>
              </w:rPr>
            </w:pPr>
            <w:r>
              <w:rPr>
                <w:sz w:val="20"/>
                <w:szCs w:val="20"/>
                <w:lang w:eastAsia="id-ID"/>
              </w:rPr>
              <w:t xml:space="preserve">X1 </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jc w:val="right"/>
              <w:rPr>
                <w:sz w:val="20"/>
                <w:szCs w:val="20"/>
                <w:lang w:eastAsia="id-ID"/>
              </w:rPr>
            </w:pPr>
            <w:r>
              <w:rPr>
                <w:sz w:val="20"/>
                <w:szCs w:val="20"/>
                <w:lang w:eastAsia="id-ID"/>
              </w:rPr>
              <w:t xml:space="preserve">-0.170 </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jc w:val="right"/>
              <w:rPr>
                <w:sz w:val="20"/>
                <w:szCs w:val="20"/>
                <w:lang w:eastAsia="id-ID"/>
              </w:rPr>
            </w:pPr>
            <w:r>
              <w:rPr>
                <w:sz w:val="20"/>
                <w:szCs w:val="20"/>
                <w:lang w:eastAsia="id-ID"/>
              </w:rPr>
              <w:t xml:space="preserve">0.048 </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jc w:val="right"/>
              <w:rPr>
                <w:sz w:val="20"/>
                <w:szCs w:val="20"/>
                <w:lang w:eastAsia="id-ID"/>
              </w:rPr>
            </w:pPr>
            <w:r>
              <w:rPr>
                <w:sz w:val="20"/>
                <w:szCs w:val="20"/>
                <w:lang w:eastAsia="id-ID"/>
              </w:rPr>
              <w:t xml:space="preserve">-0.315 </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jc w:val="right"/>
              <w:rPr>
                <w:sz w:val="20"/>
                <w:szCs w:val="20"/>
                <w:lang w:eastAsia="id-ID"/>
              </w:rPr>
            </w:pPr>
            <w:r>
              <w:rPr>
                <w:sz w:val="20"/>
                <w:szCs w:val="20"/>
                <w:lang w:eastAsia="id-ID"/>
              </w:rPr>
              <w:t xml:space="preserve">-3.543 </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jc w:val="right"/>
              <w:rPr>
                <w:sz w:val="20"/>
                <w:szCs w:val="20"/>
                <w:lang w:eastAsia="id-ID"/>
              </w:rPr>
            </w:pPr>
            <w:r>
              <w:rPr>
                <w:sz w:val="20"/>
                <w:szCs w:val="20"/>
                <w:lang w:eastAsia="id-ID"/>
              </w:rPr>
              <w:t xml:space="preserve">&lt; .001 </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r>
      <w:tr w:rsidR="001331F3" w:rsidTr="001331F3">
        <w:trPr>
          <w:trHeight w:val="299"/>
        </w:trPr>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rPr>
                <w:sz w:val="20"/>
                <w:szCs w:val="20"/>
                <w:lang w:eastAsia="id-ID"/>
              </w:rPr>
            </w:pPr>
            <w:r>
              <w:rPr>
                <w:sz w:val="20"/>
                <w:szCs w:val="20"/>
                <w:lang w:eastAsia="id-ID"/>
              </w:rPr>
              <w:t xml:space="preserve">X2 </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jc w:val="right"/>
              <w:rPr>
                <w:sz w:val="20"/>
                <w:szCs w:val="20"/>
                <w:lang w:eastAsia="id-ID"/>
              </w:rPr>
            </w:pPr>
            <w:r>
              <w:rPr>
                <w:sz w:val="20"/>
                <w:szCs w:val="20"/>
                <w:lang w:eastAsia="id-ID"/>
              </w:rPr>
              <w:t xml:space="preserve">-1.607 </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jc w:val="right"/>
              <w:rPr>
                <w:sz w:val="20"/>
                <w:szCs w:val="20"/>
                <w:lang w:eastAsia="id-ID"/>
              </w:rPr>
            </w:pPr>
            <w:r>
              <w:rPr>
                <w:sz w:val="20"/>
                <w:szCs w:val="20"/>
                <w:lang w:eastAsia="id-ID"/>
              </w:rPr>
              <w:t xml:space="preserve">0.406 </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jc w:val="right"/>
              <w:rPr>
                <w:sz w:val="20"/>
                <w:szCs w:val="20"/>
                <w:lang w:eastAsia="id-ID"/>
              </w:rPr>
            </w:pPr>
            <w:r>
              <w:rPr>
                <w:sz w:val="20"/>
                <w:szCs w:val="20"/>
                <w:lang w:eastAsia="id-ID"/>
              </w:rPr>
              <w:t xml:space="preserve">-0.352 </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jc w:val="right"/>
              <w:rPr>
                <w:sz w:val="20"/>
                <w:szCs w:val="20"/>
                <w:lang w:eastAsia="id-ID"/>
              </w:rPr>
            </w:pPr>
            <w:r>
              <w:rPr>
                <w:sz w:val="20"/>
                <w:szCs w:val="20"/>
                <w:lang w:eastAsia="id-ID"/>
              </w:rPr>
              <w:t xml:space="preserve">-3.959 </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c>
          <w:tcPr>
            <w:tcW w:w="0" w:type="auto"/>
            <w:tcMar>
              <w:top w:w="15" w:type="dxa"/>
              <w:left w:w="15" w:type="dxa"/>
              <w:bottom w:w="15" w:type="dxa"/>
              <w:right w:w="15" w:type="dxa"/>
            </w:tcMar>
            <w:vAlign w:val="center"/>
            <w:hideMark/>
          </w:tcPr>
          <w:p w:rsidR="001331F3" w:rsidRDefault="001331F3">
            <w:pPr>
              <w:jc w:val="right"/>
              <w:rPr>
                <w:sz w:val="20"/>
                <w:szCs w:val="20"/>
                <w:lang w:eastAsia="id-ID"/>
              </w:rPr>
            </w:pPr>
            <w:r>
              <w:rPr>
                <w:sz w:val="20"/>
                <w:szCs w:val="20"/>
                <w:lang w:eastAsia="id-ID"/>
              </w:rPr>
              <w:t xml:space="preserve">&lt; .001 </w:t>
            </w:r>
          </w:p>
        </w:tc>
        <w:tc>
          <w:tcPr>
            <w:tcW w:w="0" w:type="auto"/>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r>
      <w:tr w:rsidR="001331F3" w:rsidTr="001331F3">
        <w:tc>
          <w:tcPr>
            <w:tcW w:w="0" w:type="auto"/>
            <w:gridSpan w:val="14"/>
            <w:tcBorders>
              <w:top w:val="nil"/>
              <w:left w:val="nil"/>
              <w:bottom w:val="single" w:sz="12" w:space="0" w:color="000000"/>
              <w:right w:val="nil"/>
            </w:tcBorders>
            <w:tcMar>
              <w:top w:w="15" w:type="dxa"/>
              <w:left w:w="15" w:type="dxa"/>
              <w:bottom w:w="15" w:type="dxa"/>
              <w:right w:w="15" w:type="dxa"/>
            </w:tcMar>
            <w:vAlign w:val="center"/>
            <w:hideMark/>
          </w:tcPr>
          <w:p w:rsidR="001331F3" w:rsidRDefault="001331F3">
            <w:pPr>
              <w:suppressAutoHyphens w:val="0"/>
              <w:rPr>
                <w:rFonts w:asciiTheme="minorHAnsi" w:eastAsiaTheme="minorEastAsia" w:hAnsiTheme="minorHAnsi" w:cstheme="minorBidi"/>
                <w:sz w:val="22"/>
                <w:szCs w:val="22"/>
                <w:lang w:eastAsia="id-ID"/>
              </w:rPr>
            </w:pPr>
          </w:p>
        </w:tc>
      </w:tr>
    </w:tbl>
    <w:p w:rsidR="001331F3" w:rsidRDefault="001331F3" w:rsidP="001331F3">
      <w:pPr>
        <w:ind w:firstLine="720"/>
        <w:jc w:val="both"/>
        <w:rPr>
          <w:bCs/>
          <w:sz w:val="20"/>
          <w:szCs w:val="20"/>
        </w:rPr>
      </w:pPr>
    </w:p>
    <w:p w:rsidR="001331F3" w:rsidRDefault="001331F3" w:rsidP="001331F3">
      <w:pPr>
        <w:jc w:val="both"/>
        <w:rPr>
          <w:sz w:val="20"/>
          <w:szCs w:val="20"/>
          <w:lang w:val="en-US"/>
        </w:rPr>
      </w:pPr>
      <w:r>
        <w:rPr>
          <w:sz w:val="20"/>
          <w:szCs w:val="20"/>
        </w:rPr>
        <w:tab/>
      </w:r>
      <w:r>
        <w:rPr>
          <w:sz w:val="20"/>
          <w:szCs w:val="20"/>
          <w:lang w:val="en-US"/>
        </w:rPr>
        <w:t xml:space="preserve">Uji T digunakan untuk mengetahui sebaran pengaruh secara parsial antara variabel X dan variabel Y. Persyaratan yang harus dipenuhi dalam uji T adalah t hitung &lt; t tabel. Hasil uji T menunjukan x1 t hitung (-3.543) &lt; t tabel (-1.984) dengan taraf </w:t>
      </w:r>
      <w:r>
        <w:rPr>
          <w:i/>
          <w:iCs/>
          <w:sz w:val="20"/>
          <w:szCs w:val="20"/>
          <w:lang w:val="en-US"/>
        </w:rPr>
        <w:t xml:space="preserve">p </w:t>
      </w:r>
      <w:r>
        <w:rPr>
          <w:sz w:val="20"/>
          <w:szCs w:val="20"/>
          <w:lang w:val="en-US"/>
        </w:rPr>
        <w:t xml:space="preserve">&lt; ,001, yang artinya terdapat pengaruh secara signifikan antara religuisitas terhadap kecemasan menghadapi kematian. Sedangkan nilai x2 t hitung (-1.959) &lt; t tabel (-1.984) dengan taraf </w:t>
      </w:r>
      <w:r>
        <w:rPr>
          <w:i/>
          <w:iCs/>
          <w:sz w:val="20"/>
          <w:szCs w:val="20"/>
          <w:lang w:val="en-US"/>
        </w:rPr>
        <w:t xml:space="preserve">p </w:t>
      </w:r>
      <w:r>
        <w:rPr>
          <w:sz w:val="20"/>
          <w:szCs w:val="20"/>
          <w:lang w:val="en-US"/>
        </w:rPr>
        <w:t xml:space="preserve"> &lt; ,001 yang artinya terdapat pengaruh secara signifikan antara dukungan sosial terhadap kecemasan menghadapi kematian pada lanjut usia.</w:t>
      </w:r>
    </w:p>
    <w:p w:rsidR="001331F3" w:rsidRDefault="001331F3" w:rsidP="001331F3">
      <w:pPr>
        <w:ind w:right="-10"/>
        <w:jc w:val="both"/>
        <w:rPr>
          <w:b/>
          <w:bCs/>
          <w:sz w:val="20"/>
          <w:szCs w:val="20"/>
          <w:lang w:val="en-US"/>
        </w:rPr>
      </w:pPr>
      <w:r>
        <w:rPr>
          <w:b/>
          <w:bCs/>
          <w:sz w:val="20"/>
          <w:szCs w:val="20"/>
        </w:rPr>
        <w:t xml:space="preserve">Tabel 7. Hasil Uji </w:t>
      </w:r>
      <w:r>
        <w:rPr>
          <w:b/>
          <w:bCs/>
          <w:sz w:val="20"/>
          <w:szCs w:val="20"/>
          <w:lang w:val="en-US"/>
        </w:rPr>
        <w:t>Korelasi</w:t>
      </w:r>
    </w:p>
    <w:p w:rsidR="001331F3" w:rsidRDefault="001331F3" w:rsidP="001331F3">
      <w:pPr>
        <w:rPr>
          <w:sz w:val="20"/>
          <w:szCs w:val="20"/>
        </w:rPr>
      </w:pPr>
    </w:p>
    <w:tbl>
      <w:tblPr>
        <w:tblStyle w:val="TableGrid0"/>
        <w:tblW w:w="10178" w:type="dxa"/>
        <w:tblInd w:w="0" w:type="dxa"/>
        <w:tblBorders>
          <w:bottom w:val="single" w:sz="4" w:space="0" w:color="auto"/>
        </w:tblBorders>
        <w:tblCellMar>
          <w:right w:w="115" w:type="dxa"/>
        </w:tblCellMar>
        <w:tblLook w:val="04A0"/>
      </w:tblPr>
      <w:tblGrid>
        <w:gridCol w:w="2448"/>
        <w:gridCol w:w="2678"/>
        <w:gridCol w:w="2140"/>
        <w:gridCol w:w="2912"/>
      </w:tblGrid>
      <w:tr w:rsidR="001331F3" w:rsidTr="00C464C0">
        <w:trPr>
          <w:trHeight w:val="519"/>
        </w:trPr>
        <w:tc>
          <w:tcPr>
            <w:tcW w:w="2448" w:type="dxa"/>
            <w:tcBorders>
              <w:top w:val="single" w:sz="4" w:space="0" w:color="auto"/>
              <w:bottom w:val="single" w:sz="4" w:space="0" w:color="auto"/>
            </w:tcBorders>
            <w:hideMark/>
          </w:tcPr>
          <w:p w:rsidR="001331F3" w:rsidRDefault="001331F3">
            <w:pPr>
              <w:spacing w:line="254" w:lineRule="auto"/>
              <w:ind w:left="347"/>
              <w:rPr>
                <w:sz w:val="20"/>
                <w:szCs w:val="20"/>
              </w:rPr>
            </w:pPr>
            <w:r>
              <w:rPr>
                <w:b/>
                <w:sz w:val="20"/>
                <w:szCs w:val="20"/>
              </w:rPr>
              <w:t>Variabel</w:t>
            </w:r>
            <w:r>
              <w:rPr>
                <w:b/>
                <w:sz w:val="20"/>
                <w:szCs w:val="20"/>
              </w:rPr>
              <w:tab/>
            </w:r>
            <w:r>
              <w:rPr>
                <w:b/>
                <w:sz w:val="20"/>
                <w:szCs w:val="20"/>
              </w:rPr>
              <w:tab/>
            </w:r>
          </w:p>
        </w:tc>
        <w:tc>
          <w:tcPr>
            <w:tcW w:w="2678" w:type="dxa"/>
            <w:tcBorders>
              <w:top w:val="single" w:sz="4" w:space="0" w:color="auto"/>
              <w:bottom w:val="single" w:sz="4" w:space="0" w:color="auto"/>
            </w:tcBorders>
            <w:hideMark/>
          </w:tcPr>
          <w:p w:rsidR="001331F3" w:rsidRDefault="001331F3">
            <w:pPr>
              <w:spacing w:line="254" w:lineRule="auto"/>
              <w:ind w:firstLine="129"/>
              <w:rPr>
                <w:b/>
                <w:i/>
                <w:sz w:val="20"/>
                <w:szCs w:val="20"/>
              </w:rPr>
            </w:pPr>
            <w:r>
              <w:rPr>
                <w:b/>
                <w:i/>
                <w:sz w:val="20"/>
                <w:szCs w:val="20"/>
              </w:rPr>
              <w:t>Personal</w:t>
            </w:r>
          </w:p>
          <w:p w:rsidR="001331F3" w:rsidRDefault="001331F3">
            <w:pPr>
              <w:spacing w:line="254" w:lineRule="auto"/>
              <w:ind w:firstLine="129"/>
              <w:rPr>
                <w:sz w:val="20"/>
                <w:szCs w:val="20"/>
              </w:rPr>
            </w:pPr>
            <w:r>
              <w:rPr>
                <w:b/>
                <w:i/>
                <w:sz w:val="20"/>
                <w:szCs w:val="20"/>
              </w:rPr>
              <w:t>Correlation</w:t>
            </w:r>
            <w:r>
              <w:rPr>
                <w:b/>
                <w:i/>
                <w:sz w:val="20"/>
                <w:szCs w:val="20"/>
              </w:rPr>
              <w:tab/>
            </w:r>
          </w:p>
        </w:tc>
        <w:tc>
          <w:tcPr>
            <w:tcW w:w="2140" w:type="dxa"/>
            <w:tcBorders>
              <w:top w:val="single" w:sz="4" w:space="0" w:color="auto"/>
              <w:bottom w:val="single" w:sz="4" w:space="0" w:color="auto"/>
            </w:tcBorders>
            <w:hideMark/>
          </w:tcPr>
          <w:p w:rsidR="001331F3" w:rsidRDefault="001331F3">
            <w:pPr>
              <w:spacing w:line="254" w:lineRule="auto"/>
              <w:ind w:left="142"/>
              <w:rPr>
                <w:sz w:val="20"/>
                <w:szCs w:val="20"/>
              </w:rPr>
            </w:pPr>
            <w:r>
              <w:rPr>
                <w:b/>
                <w:sz w:val="20"/>
                <w:szCs w:val="20"/>
              </w:rPr>
              <w:t>Sig.</w:t>
            </w:r>
            <w:r>
              <w:rPr>
                <w:b/>
                <w:sz w:val="20"/>
                <w:szCs w:val="20"/>
              </w:rPr>
              <w:tab/>
            </w:r>
            <w:r>
              <w:rPr>
                <w:b/>
                <w:sz w:val="20"/>
                <w:szCs w:val="20"/>
              </w:rPr>
              <w:tab/>
            </w:r>
          </w:p>
        </w:tc>
        <w:tc>
          <w:tcPr>
            <w:tcW w:w="2912" w:type="dxa"/>
            <w:tcBorders>
              <w:top w:val="single" w:sz="4" w:space="0" w:color="auto"/>
              <w:bottom w:val="single" w:sz="4" w:space="0" w:color="auto"/>
            </w:tcBorders>
            <w:hideMark/>
          </w:tcPr>
          <w:p w:rsidR="001331F3" w:rsidRDefault="001331F3">
            <w:pPr>
              <w:spacing w:line="254" w:lineRule="auto"/>
              <w:ind w:left="202"/>
              <w:rPr>
                <w:sz w:val="20"/>
                <w:szCs w:val="20"/>
              </w:rPr>
            </w:pPr>
            <w:r>
              <w:rPr>
                <w:b/>
                <w:sz w:val="20"/>
                <w:szCs w:val="20"/>
              </w:rPr>
              <w:t>Keterangan</w:t>
            </w:r>
            <w:r>
              <w:rPr>
                <w:b/>
                <w:sz w:val="20"/>
                <w:szCs w:val="20"/>
              </w:rPr>
              <w:tab/>
            </w:r>
            <w:r>
              <w:rPr>
                <w:b/>
                <w:sz w:val="20"/>
                <w:szCs w:val="20"/>
              </w:rPr>
              <w:tab/>
            </w:r>
          </w:p>
        </w:tc>
      </w:tr>
      <w:tr w:rsidR="001331F3" w:rsidTr="00C464C0">
        <w:trPr>
          <w:trHeight w:val="265"/>
        </w:trPr>
        <w:tc>
          <w:tcPr>
            <w:tcW w:w="2448" w:type="dxa"/>
            <w:tcBorders>
              <w:top w:val="single" w:sz="4" w:space="0" w:color="auto"/>
            </w:tcBorders>
            <w:hideMark/>
          </w:tcPr>
          <w:p w:rsidR="001331F3" w:rsidRDefault="001331F3">
            <w:pPr>
              <w:spacing w:line="254" w:lineRule="auto"/>
              <w:rPr>
                <w:sz w:val="20"/>
                <w:szCs w:val="20"/>
              </w:rPr>
            </w:pPr>
            <w:r>
              <w:rPr>
                <w:b/>
                <w:sz w:val="20"/>
                <w:szCs w:val="20"/>
              </w:rPr>
              <w:lastRenderedPageBreak/>
              <w:t>X1      Religiusitas</w:t>
            </w:r>
          </w:p>
        </w:tc>
        <w:tc>
          <w:tcPr>
            <w:tcW w:w="2678" w:type="dxa"/>
            <w:tcBorders>
              <w:top w:val="single" w:sz="4" w:space="0" w:color="auto"/>
            </w:tcBorders>
            <w:hideMark/>
          </w:tcPr>
          <w:p w:rsidR="001331F3" w:rsidRDefault="001331F3">
            <w:pPr>
              <w:spacing w:line="254" w:lineRule="auto"/>
              <w:ind w:left="301"/>
              <w:rPr>
                <w:sz w:val="20"/>
                <w:szCs w:val="20"/>
              </w:rPr>
            </w:pPr>
            <w:r>
              <w:rPr>
                <w:sz w:val="20"/>
                <w:szCs w:val="20"/>
              </w:rPr>
              <w:t>0.39</w:t>
            </w:r>
            <w:r>
              <w:rPr>
                <w:sz w:val="20"/>
                <w:szCs w:val="20"/>
                <w:lang w:val="en-US"/>
              </w:rPr>
              <w:t>3</w:t>
            </w:r>
            <w:r>
              <w:rPr>
                <w:sz w:val="20"/>
                <w:szCs w:val="20"/>
              </w:rPr>
              <w:tab/>
            </w:r>
          </w:p>
        </w:tc>
        <w:tc>
          <w:tcPr>
            <w:tcW w:w="2140" w:type="dxa"/>
            <w:tcBorders>
              <w:top w:val="single" w:sz="4" w:space="0" w:color="auto"/>
            </w:tcBorders>
            <w:hideMark/>
          </w:tcPr>
          <w:p w:rsidR="001331F3" w:rsidRDefault="001331F3">
            <w:pPr>
              <w:spacing w:line="254" w:lineRule="auto"/>
              <w:ind w:left="20"/>
              <w:rPr>
                <w:sz w:val="20"/>
                <w:szCs w:val="20"/>
              </w:rPr>
            </w:pPr>
            <w:r>
              <w:rPr>
                <w:sz w:val="20"/>
                <w:szCs w:val="20"/>
              </w:rPr>
              <w:t>0,00</w:t>
            </w:r>
            <w:r>
              <w:rPr>
                <w:sz w:val="20"/>
                <w:szCs w:val="20"/>
                <w:lang w:val="en-US"/>
              </w:rPr>
              <w:t>1</w:t>
            </w:r>
            <w:r>
              <w:rPr>
                <w:sz w:val="20"/>
                <w:szCs w:val="20"/>
              </w:rPr>
              <w:tab/>
            </w:r>
          </w:p>
        </w:tc>
        <w:tc>
          <w:tcPr>
            <w:tcW w:w="2912" w:type="dxa"/>
            <w:tcBorders>
              <w:top w:val="single" w:sz="4" w:space="0" w:color="auto"/>
            </w:tcBorders>
            <w:hideMark/>
          </w:tcPr>
          <w:p w:rsidR="001331F3" w:rsidRDefault="001331F3">
            <w:pPr>
              <w:spacing w:line="254" w:lineRule="auto"/>
              <w:rPr>
                <w:sz w:val="20"/>
                <w:szCs w:val="20"/>
              </w:rPr>
            </w:pPr>
            <w:r>
              <w:rPr>
                <w:sz w:val="20"/>
                <w:szCs w:val="20"/>
              </w:rPr>
              <w:t>Positif</w:t>
            </w:r>
            <w:r>
              <w:rPr>
                <w:sz w:val="20"/>
                <w:szCs w:val="20"/>
              </w:rPr>
              <w:tab/>
              <w:t>Signifikan</w:t>
            </w:r>
            <w:r>
              <w:rPr>
                <w:sz w:val="20"/>
                <w:szCs w:val="20"/>
              </w:rPr>
              <w:tab/>
            </w:r>
          </w:p>
        </w:tc>
      </w:tr>
      <w:tr w:rsidR="001331F3" w:rsidTr="00C464C0">
        <w:trPr>
          <w:trHeight w:val="261"/>
        </w:trPr>
        <w:tc>
          <w:tcPr>
            <w:tcW w:w="2448" w:type="dxa"/>
            <w:hideMark/>
          </w:tcPr>
          <w:p w:rsidR="001331F3" w:rsidRDefault="001331F3">
            <w:pPr>
              <w:spacing w:line="254" w:lineRule="auto"/>
              <w:rPr>
                <w:sz w:val="20"/>
                <w:szCs w:val="20"/>
              </w:rPr>
            </w:pPr>
            <w:r>
              <w:rPr>
                <w:b/>
                <w:sz w:val="20"/>
                <w:szCs w:val="20"/>
              </w:rPr>
              <w:t>X2   Dukungan Sosial</w:t>
            </w:r>
            <w:r>
              <w:rPr>
                <w:b/>
                <w:sz w:val="20"/>
                <w:szCs w:val="20"/>
              </w:rPr>
              <w:tab/>
            </w:r>
          </w:p>
        </w:tc>
        <w:tc>
          <w:tcPr>
            <w:tcW w:w="2678" w:type="dxa"/>
            <w:hideMark/>
          </w:tcPr>
          <w:p w:rsidR="001331F3" w:rsidRDefault="001331F3">
            <w:pPr>
              <w:spacing w:line="254" w:lineRule="auto"/>
              <w:ind w:left="301"/>
              <w:rPr>
                <w:sz w:val="20"/>
                <w:szCs w:val="20"/>
              </w:rPr>
            </w:pPr>
            <w:r>
              <w:rPr>
                <w:sz w:val="20"/>
                <w:szCs w:val="20"/>
              </w:rPr>
              <w:t>0.421</w:t>
            </w:r>
            <w:r>
              <w:rPr>
                <w:sz w:val="20"/>
                <w:szCs w:val="20"/>
              </w:rPr>
              <w:tab/>
            </w:r>
          </w:p>
        </w:tc>
        <w:tc>
          <w:tcPr>
            <w:tcW w:w="2140" w:type="dxa"/>
            <w:hideMark/>
          </w:tcPr>
          <w:p w:rsidR="001331F3" w:rsidRDefault="001331F3">
            <w:pPr>
              <w:spacing w:line="254" w:lineRule="auto"/>
              <w:rPr>
                <w:sz w:val="20"/>
                <w:szCs w:val="20"/>
              </w:rPr>
            </w:pPr>
            <w:r>
              <w:rPr>
                <w:sz w:val="20"/>
                <w:szCs w:val="20"/>
              </w:rPr>
              <w:t>0,00</w:t>
            </w:r>
            <w:r>
              <w:rPr>
                <w:sz w:val="20"/>
                <w:szCs w:val="20"/>
                <w:lang w:val="en-US"/>
              </w:rPr>
              <w:t>1</w:t>
            </w:r>
            <w:r>
              <w:rPr>
                <w:sz w:val="20"/>
                <w:szCs w:val="20"/>
              </w:rPr>
              <w:tab/>
            </w:r>
          </w:p>
        </w:tc>
        <w:tc>
          <w:tcPr>
            <w:tcW w:w="2912" w:type="dxa"/>
            <w:hideMark/>
          </w:tcPr>
          <w:p w:rsidR="001331F3" w:rsidRDefault="001331F3">
            <w:pPr>
              <w:spacing w:line="254" w:lineRule="auto"/>
              <w:rPr>
                <w:sz w:val="20"/>
                <w:szCs w:val="20"/>
              </w:rPr>
            </w:pPr>
            <w:r>
              <w:rPr>
                <w:sz w:val="20"/>
                <w:szCs w:val="20"/>
              </w:rPr>
              <w:t>Positif</w:t>
            </w:r>
            <w:r>
              <w:rPr>
                <w:sz w:val="20"/>
                <w:szCs w:val="20"/>
              </w:rPr>
              <w:tab/>
              <w:t>Signifikan</w:t>
            </w:r>
            <w:r>
              <w:rPr>
                <w:sz w:val="20"/>
                <w:szCs w:val="20"/>
              </w:rPr>
              <w:tab/>
            </w:r>
            <w:r>
              <w:rPr>
                <w:sz w:val="20"/>
                <w:szCs w:val="20"/>
              </w:rPr>
              <w:tab/>
            </w:r>
          </w:p>
        </w:tc>
      </w:tr>
    </w:tbl>
    <w:p w:rsidR="001331F3" w:rsidRDefault="001331F3" w:rsidP="001331F3">
      <w:pPr>
        <w:rPr>
          <w:sz w:val="20"/>
          <w:szCs w:val="20"/>
        </w:rPr>
      </w:pPr>
    </w:p>
    <w:p w:rsidR="001331F3" w:rsidRDefault="001331F3" w:rsidP="001331F3">
      <w:pPr>
        <w:ind w:right="-10" w:firstLine="720"/>
        <w:jc w:val="both"/>
        <w:rPr>
          <w:bCs/>
          <w:sz w:val="20"/>
          <w:szCs w:val="20"/>
        </w:rPr>
      </w:pPr>
      <w:r>
        <w:rPr>
          <w:bCs/>
          <w:sz w:val="20"/>
          <w:szCs w:val="20"/>
        </w:rPr>
        <w:t>Dalam penelitian ditemukan bahwa terdapat korelasi yang signifikan antara Religiusitas dan Kecemasan Menghadapi Kematian di Liponsos Keputih Surabaya, yang ditunjukkan oleh koefisien korelasi sebesar 0.393 (p &lt; 0.001). Ini menegaskan bahwa semakin tinggi Kecemasan Menghadapi Kematian, semakin rendah pula Religiusitas dalam populasi tersebut. Sedangkan korelasi yang signifikan antara Dukungan Sosial dan Kecemasan Menghadapi Kematian di Liponsos Keputih Surabaya, yang ditunjukkan oleh koefisien korelasi sebesar 0.421 (p &lt; 0.001). Ini menegaskan bahwa semakin tinggi Kecemasan Menghadapi Kematian, semakin rendah  pula Dukungan Sosial dalam populasi tersebut.</w:t>
      </w:r>
    </w:p>
    <w:p w:rsidR="001331F3" w:rsidRDefault="001331F3" w:rsidP="001331F3">
      <w:pPr>
        <w:ind w:right="-10"/>
        <w:jc w:val="both"/>
        <w:rPr>
          <w:bCs/>
          <w:sz w:val="20"/>
          <w:szCs w:val="20"/>
        </w:rPr>
      </w:pPr>
    </w:p>
    <w:p w:rsidR="001331F3" w:rsidRDefault="001331F3" w:rsidP="001331F3">
      <w:pPr>
        <w:ind w:right="-10"/>
        <w:jc w:val="both"/>
        <w:rPr>
          <w:b/>
          <w:sz w:val="20"/>
          <w:szCs w:val="20"/>
          <w:lang w:val="en-US"/>
        </w:rPr>
      </w:pPr>
      <w:r>
        <w:rPr>
          <w:b/>
          <w:sz w:val="20"/>
          <w:szCs w:val="20"/>
          <w:lang w:val="en-US"/>
        </w:rPr>
        <w:t>Tabel 8. Hasil Sumbangan Efektif</w:t>
      </w:r>
    </w:p>
    <w:p w:rsidR="001331F3" w:rsidRDefault="001331F3" w:rsidP="001331F3">
      <w:pPr>
        <w:ind w:right="-10"/>
        <w:jc w:val="both"/>
        <w:rPr>
          <w:b/>
          <w:sz w:val="20"/>
          <w:szCs w:val="20"/>
          <w:lang w:val="en-US"/>
        </w:rPr>
      </w:pPr>
    </w:p>
    <w:tbl>
      <w:tblPr>
        <w:tblpPr w:leftFromText="180" w:rightFromText="180" w:vertAnchor="text" w:horzAnchor="page" w:tblpX="2127" w:tblpY="122"/>
        <w:tblW w:w="9075" w:type="dxa"/>
        <w:tblLayout w:type="fixed"/>
        <w:tblLook w:val="01E0"/>
      </w:tblPr>
      <w:tblGrid>
        <w:gridCol w:w="1276"/>
        <w:gridCol w:w="2127"/>
        <w:gridCol w:w="2269"/>
        <w:gridCol w:w="851"/>
        <w:gridCol w:w="2552"/>
      </w:tblGrid>
      <w:tr w:rsidR="001331F3" w:rsidTr="001331F3">
        <w:trPr>
          <w:trHeight w:val="772"/>
        </w:trPr>
        <w:tc>
          <w:tcPr>
            <w:tcW w:w="1276" w:type="dxa"/>
            <w:tcBorders>
              <w:top w:val="single" w:sz="8" w:space="0" w:color="000000"/>
              <w:left w:val="nil"/>
              <w:bottom w:val="single" w:sz="8" w:space="0" w:color="000000"/>
              <w:right w:val="nil"/>
            </w:tcBorders>
            <w:hideMark/>
          </w:tcPr>
          <w:p w:rsidR="001331F3" w:rsidRDefault="001331F3">
            <w:pPr>
              <w:ind w:right="-10"/>
              <w:jc w:val="both"/>
              <w:rPr>
                <w:b/>
                <w:bCs/>
                <w:sz w:val="20"/>
                <w:szCs w:val="20"/>
                <w:lang w:val="en-US"/>
              </w:rPr>
            </w:pPr>
            <w:bookmarkStart w:id="1" w:name="_Hlk168593564"/>
            <w:r>
              <w:rPr>
                <w:b/>
                <w:bCs/>
                <w:sz w:val="20"/>
                <w:szCs w:val="20"/>
                <w:lang w:val="en-US"/>
              </w:rPr>
              <w:t>Variabel</w:t>
            </w:r>
          </w:p>
        </w:tc>
        <w:tc>
          <w:tcPr>
            <w:tcW w:w="2126" w:type="dxa"/>
            <w:tcBorders>
              <w:top w:val="single" w:sz="8" w:space="0" w:color="000000"/>
              <w:left w:val="nil"/>
              <w:bottom w:val="single" w:sz="8" w:space="0" w:color="000000"/>
              <w:right w:val="nil"/>
            </w:tcBorders>
            <w:hideMark/>
          </w:tcPr>
          <w:p w:rsidR="001331F3" w:rsidRDefault="001331F3">
            <w:pPr>
              <w:ind w:right="-10"/>
              <w:jc w:val="both"/>
              <w:rPr>
                <w:b/>
                <w:bCs/>
                <w:sz w:val="20"/>
                <w:szCs w:val="20"/>
                <w:lang w:val="en-US"/>
              </w:rPr>
            </w:pPr>
            <w:r>
              <w:rPr>
                <w:b/>
                <w:bCs/>
                <w:sz w:val="20"/>
                <w:szCs w:val="20"/>
                <w:lang w:val="en-US"/>
              </w:rPr>
              <w:t>Koefisien regresi</w:t>
            </w:r>
          </w:p>
          <w:p w:rsidR="001331F3" w:rsidRDefault="001331F3">
            <w:pPr>
              <w:ind w:right="-10"/>
              <w:jc w:val="both"/>
              <w:rPr>
                <w:b/>
                <w:bCs/>
                <w:sz w:val="20"/>
                <w:szCs w:val="20"/>
                <w:lang w:val="en-US"/>
              </w:rPr>
            </w:pPr>
            <w:r>
              <w:rPr>
                <w:b/>
                <w:bCs/>
                <w:sz w:val="20"/>
                <w:szCs w:val="20"/>
                <w:lang w:val="en-US"/>
              </w:rPr>
              <w:t>(β)</w:t>
            </w:r>
          </w:p>
        </w:tc>
        <w:tc>
          <w:tcPr>
            <w:tcW w:w="2268" w:type="dxa"/>
            <w:tcBorders>
              <w:top w:val="single" w:sz="8" w:space="0" w:color="000000"/>
              <w:left w:val="nil"/>
              <w:bottom w:val="single" w:sz="8" w:space="0" w:color="000000"/>
              <w:right w:val="nil"/>
            </w:tcBorders>
            <w:hideMark/>
          </w:tcPr>
          <w:p w:rsidR="001331F3" w:rsidRDefault="001331F3">
            <w:pPr>
              <w:ind w:right="-10"/>
              <w:jc w:val="both"/>
              <w:rPr>
                <w:b/>
                <w:bCs/>
                <w:sz w:val="20"/>
                <w:szCs w:val="20"/>
                <w:lang w:val="en-US"/>
              </w:rPr>
            </w:pPr>
            <w:r>
              <w:rPr>
                <w:b/>
                <w:bCs/>
                <w:sz w:val="20"/>
                <w:szCs w:val="20"/>
                <w:lang w:val="en-US"/>
              </w:rPr>
              <w:t>Koefisien regresi</w:t>
            </w:r>
          </w:p>
          <w:p w:rsidR="001331F3" w:rsidRDefault="001331F3">
            <w:pPr>
              <w:ind w:right="-10"/>
              <w:jc w:val="both"/>
              <w:rPr>
                <w:b/>
                <w:bCs/>
                <w:sz w:val="20"/>
                <w:szCs w:val="20"/>
                <w:lang w:val="en-US"/>
              </w:rPr>
            </w:pPr>
            <w:r>
              <w:rPr>
                <w:b/>
                <w:bCs/>
                <w:sz w:val="20"/>
                <w:szCs w:val="20"/>
                <w:lang w:val="en-US"/>
              </w:rPr>
              <w:t>(R</w:t>
            </w:r>
            <w:r>
              <w:rPr>
                <w:b/>
                <w:bCs/>
                <w:sz w:val="20"/>
                <w:szCs w:val="20"/>
                <w:vertAlign w:val="subscript"/>
                <w:lang w:val="en-US"/>
              </w:rPr>
              <w:t>xy</w:t>
            </w:r>
            <w:r>
              <w:rPr>
                <w:b/>
                <w:bCs/>
                <w:sz w:val="20"/>
                <w:szCs w:val="20"/>
                <w:lang w:val="en-US"/>
              </w:rPr>
              <w:t>)</w:t>
            </w:r>
          </w:p>
        </w:tc>
        <w:tc>
          <w:tcPr>
            <w:tcW w:w="851" w:type="dxa"/>
            <w:tcBorders>
              <w:top w:val="single" w:sz="8" w:space="0" w:color="000000"/>
              <w:left w:val="nil"/>
              <w:bottom w:val="single" w:sz="8" w:space="0" w:color="000000"/>
              <w:right w:val="nil"/>
            </w:tcBorders>
            <w:hideMark/>
          </w:tcPr>
          <w:p w:rsidR="001331F3" w:rsidRDefault="001331F3">
            <w:pPr>
              <w:ind w:right="-10"/>
              <w:jc w:val="both"/>
              <w:rPr>
                <w:b/>
                <w:bCs/>
                <w:sz w:val="20"/>
                <w:szCs w:val="20"/>
                <w:lang w:val="en-US"/>
              </w:rPr>
            </w:pPr>
            <w:r>
              <w:rPr>
                <w:b/>
                <w:bCs/>
                <w:sz w:val="20"/>
                <w:szCs w:val="20"/>
                <w:lang w:val="en-US"/>
              </w:rPr>
              <w:t>R</w:t>
            </w:r>
            <w:r>
              <w:rPr>
                <w:b/>
                <w:bCs/>
                <w:sz w:val="20"/>
                <w:szCs w:val="20"/>
                <w:vertAlign w:val="superscript"/>
                <w:lang w:val="en-US"/>
              </w:rPr>
              <w:t>2</w:t>
            </w:r>
          </w:p>
        </w:tc>
        <w:tc>
          <w:tcPr>
            <w:tcW w:w="2551" w:type="dxa"/>
            <w:tcBorders>
              <w:top w:val="single" w:sz="8" w:space="0" w:color="000000"/>
              <w:left w:val="nil"/>
              <w:bottom w:val="single" w:sz="8" w:space="0" w:color="000000"/>
              <w:right w:val="nil"/>
            </w:tcBorders>
            <w:hideMark/>
          </w:tcPr>
          <w:p w:rsidR="001331F3" w:rsidRDefault="001331F3">
            <w:pPr>
              <w:ind w:right="-10"/>
              <w:jc w:val="both"/>
              <w:rPr>
                <w:b/>
                <w:bCs/>
                <w:sz w:val="20"/>
                <w:szCs w:val="20"/>
                <w:lang w:val="en-US"/>
              </w:rPr>
            </w:pPr>
            <w:r>
              <w:rPr>
                <w:b/>
                <w:bCs/>
                <w:sz w:val="20"/>
                <w:szCs w:val="20"/>
                <w:lang w:val="en-US"/>
              </w:rPr>
              <w:t>Sumbangan Efektif</w:t>
            </w:r>
          </w:p>
        </w:tc>
      </w:tr>
      <w:tr w:rsidR="001331F3" w:rsidTr="001331F3">
        <w:trPr>
          <w:trHeight w:val="260"/>
        </w:trPr>
        <w:tc>
          <w:tcPr>
            <w:tcW w:w="1276" w:type="dxa"/>
            <w:tcBorders>
              <w:top w:val="single" w:sz="8" w:space="0" w:color="000000"/>
              <w:left w:val="nil"/>
              <w:bottom w:val="nil"/>
              <w:right w:val="nil"/>
            </w:tcBorders>
            <w:hideMark/>
          </w:tcPr>
          <w:p w:rsidR="001331F3" w:rsidRDefault="001331F3">
            <w:pPr>
              <w:ind w:right="-10"/>
              <w:jc w:val="both"/>
              <w:rPr>
                <w:bCs/>
                <w:i/>
                <w:sz w:val="20"/>
                <w:szCs w:val="20"/>
                <w:lang w:val="en-US"/>
              </w:rPr>
            </w:pPr>
            <w:r>
              <w:rPr>
                <w:bCs/>
                <w:i/>
                <w:sz w:val="20"/>
                <w:szCs w:val="20"/>
                <w:lang w:val="en-US"/>
              </w:rPr>
              <w:t>Religiusitas</w:t>
            </w:r>
          </w:p>
        </w:tc>
        <w:tc>
          <w:tcPr>
            <w:tcW w:w="2126" w:type="dxa"/>
            <w:tcBorders>
              <w:top w:val="single" w:sz="8" w:space="0" w:color="000000"/>
              <w:left w:val="nil"/>
              <w:bottom w:val="nil"/>
              <w:right w:val="nil"/>
            </w:tcBorders>
            <w:hideMark/>
          </w:tcPr>
          <w:p w:rsidR="001331F3" w:rsidRDefault="001331F3">
            <w:pPr>
              <w:ind w:right="-10"/>
              <w:jc w:val="both"/>
              <w:rPr>
                <w:bCs/>
                <w:sz w:val="20"/>
                <w:szCs w:val="20"/>
                <w:lang w:val="en-US"/>
              </w:rPr>
            </w:pPr>
            <w:r>
              <w:rPr>
                <w:sz w:val="20"/>
                <w:szCs w:val="20"/>
                <w:lang w:eastAsia="id-ID"/>
              </w:rPr>
              <w:t>-0.315</w:t>
            </w:r>
          </w:p>
        </w:tc>
        <w:tc>
          <w:tcPr>
            <w:tcW w:w="2268" w:type="dxa"/>
            <w:tcBorders>
              <w:top w:val="single" w:sz="8" w:space="0" w:color="000000"/>
              <w:left w:val="nil"/>
              <w:bottom w:val="nil"/>
              <w:right w:val="nil"/>
            </w:tcBorders>
            <w:hideMark/>
          </w:tcPr>
          <w:p w:rsidR="001331F3" w:rsidRDefault="001331F3">
            <w:pPr>
              <w:ind w:right="-10"/>
              <w:jc w:val="both"/>
              <w:rPr>
                <w:bCs/>
                <w:sz w:val="20"/>
                <w:szCs w:val="20"/>
                <w:lang w:val="en-US"/>
              </w:rPr>
            </w:pPr>
            <w:r>
              <w:rPr>
                <w:sz w:val="20"/>
                <w:szCs w:val="20"/>
                <w:lang w:val="en-US" w:eastAsia="id-ID"/>
              </w:rPr>
              <w:t>-0</w:t>
            </w:r>
            <w:r>
              <w:rPr>
                <w:sz w:val="20"/>
                <w:szCs w:val="20"/>
                <w:lang w:eastAsia="id-ID"/>
              </w:rPr>
              <w:t>.3</w:t>
            </w:r>
            <w:r>
              <w:rPr>
                <w:sz w:val="20"/>
                <w:szCs w:val="20"/>
                <w:lang w:val="en-US" w:eastAsia="id-ID"/>
              </w:rPr>
              <w:t>93</w:t>
            </w:r>
          </w:p>
        </w:tc>
        <w:tc>
          <w:tcPr>
            <w:tcW w:w="851" w:type="dxa"/>
            <w:tcBorders>
              <w:top w:val="single" w:sz="8" w:space="0" w:color="000000"/>
              <w:left w:val="nil"/>
              <w:bottom w:val="nil"/>
              <w:right w:val="nil"/>
            </w:tcBorders>
            <w:hideMark/>
          </w:tcPr>
          <w:p w:rsidR="001331F3" w:rsidRDefault="001331F3">
            <w:pPr>
              <w:ind w:right="-10"/>
              <w:jc w:val="both"/>
              <w:rPr>
                <w:bCs/>
                <w:sz w:val="20"/>
                <w:szCs w:val="20"/>
                <w:lang w:val="en-US"/>
              </w:rPr>
            </w:pPr>
            <w:r>
              <w:rPr>
                <w:sz w:val="20"/>
                <w:szCs w:val="20"/>
                <w:lang w:eastAsia="id-ID"/>
              </w:rPr>
              <w:t>0.</w:t>
            </w:r>
            <w:r>
              <w:rPr>
                <w:sz w:val="20"/>
                <w:szCs w:val="20"/>
                <w:lang w:val="en-US" w:eastAsia="id-ID"/>
              </w:rPr>
              <w:t>272</w:t>
            </w:r>
          </w:p>
        </w:tc>
        <w:tc>
          <w:tcPr>
            <w:tcW w:w="2551" w:type="dxa"/>
            <w:tcBorders>
              <w:top w:val="single" w:sz="8" w:space="0" w:color="000000"/>
              <w:left w:val="nil"/>
              <w:bottom w:val="nil"/>
              <w:right w:val="nil"/>
            </w:tcBorders>
            <w:hideMark/>
          </w:tcPr>
          <w:p w:rsidR="001331F3" w:rsidRDefault="001331F3">
            <w:pPr>
              <w:ind w:right="-10"/>
              <w:jc w:val="both"/>
              <w:rPr>
                <w:bCs/>
                <w:sz w:val="20"/>
                <w:szCs w:val="20"/>
                <w:lang w:val="en-US"/>
              </w:rPr>
            </w:pPr>
            <w:r>
              <w:rPr>
                <w:sz w:val="20"/>
                <w:szCs w:val="20"/>
                <w:lang w:val="en-US" w:eastAsia="id-ID"/>
              </w:rPr>
              <w:t>12.3%</w:t>
            </w:r>
          </w:p>
        </w:tc>
      </w:tr>
      <w:tr w:rsidR="001331F3" w:rsidTr="001331F3">
        <w:trPr>
          <w:trHeight w:val="259"/>
        </w:trPr>
        <w:tc>
          <w:tcPr>
            <w:tcW w:w="1276" w:type="dxa"/>
            <w:tcBorders>
              <w:top w:val="nil"/>
              <w:left w:val="nil"/>
              <w:bottom w:val="single" w:sz="8" w:space="0" w:color="000000"/>
              <w:right w:val="nil"/>
            </w:tcBorders>
            <w:hideMark/>
          </w:tcPr>
          <w:p w:rsidR="001331F3" w:rsidRDefault="001331F3">
            <w:pPr>
              <w:ind w:right="-10"/>
              <w:jc w:val="both"/>
              <w:rPr>
                <w:bCs/>
                <w:i/>
                <w:sz w:val="20"/>
                <w:szCs w:val="20"/>
                <w:lang w:val="en-US"/>
              </w:rPr>
            </w:pPr>
            <w:r>
              <w:rPr>
                <w:bCs/>
                <w:i/>
                <w:sz w:val="20"/>
                <w:szCs w:val="20"/>
                <w:lang w:val="en-US"/>
              </w:rPr>
              <w:t>Dukungan Sosial</w:t>
            </w:r>
          </w:p>
        </w:tc>
        <w:tc>
          <w:tcPr>
            <w:tcW w:w="2126" w:type="dxa"/>
            <w:tcBorders>
              <w:top w:val="nil"/>
              <w:left w:val="nil"/>
              <w:bottom w:val="single" w:sz="8" w:space="0" w:color="000000"/>
              <w:right w:val="nil"/>
            </w:tcBorders>
            <w:hideMark/>
          </w:tcPr>
          <w:p w:rsidR="001331F3" w:rsidRDefault="001331F3">
            <w:pPr>
              <w:ind w:right="-10"/>
              <w:jc w:val="both"/>
              <w:rPr>
                <w:bCs/>
                <w:sz w:val="20"/>
                <w:szCs w:val="20"/>
                <w:lang w:val="en-US"/>
              </w:rPr>
            </w:pPr>
            <w:r>
              <w:rPr>
                <w:sz w:val="20"/>
                <w:szCs w:val="20"/>
                <w:lang w:eastAsia="id-ID"/>
              </w:rPr>
              <w:t>-0.352</w:t>
            </w:r>
          </w:p>
        </w:tc>
        <w:tc>
          <w:tcPr>
            <w:tcW w:w="2268" w:type="dxa"/>
            <w:tcBorders>
              <w:top w:val="nil"/>
              <w:left w:val="nil"/>
              <w:bottom w:val="single" w:sz="8" w:space="0" w:color="000000"/>
              <w:right w:val="nil"/>
            </w:tcBorders>
            <w:hideMark/>
          </w:tcPr>
          <w:p w:rsidR="001331F3" w:rsidRDefault="001331F3">
            <w:pPr>
              <w:ind w:right="-10"/>
              <w:jc w:val="both"/>
              <w:rPr>
                <w:bCs/>
                <w:sz w:val="20"/>
                <w:szCs w:val="20"/>
                <w:lang w:val="en-US"/>
              </w:rPr>
            </w:pPr>
            <w:r>
              <w:rPr>
                <w:sz w:val="20"/>
                <w:szCs w:val="20"/>
                <w:lang w:val="en-US" w:eastAsia="id-ID"/>
              </w:rPr>
              <w:t>-0.421</w:t>
            </w:r>
          </w:p>
        </w:tc>
        <w:tc>
          <w:tcPr>
            <w:tcW w:w="851" w:type="dxa"/>
            <w:tcBorders>
              <w:top w:val="nil"/>
              <w:left w:val="nil"/>
              <w:bottom w:val="single" w:sz="8" w:space="0" w:color="000000"/>
              <w:right w:val="nil"/>
            </w:tcBorders>
          </w:tcPr>
          <w:p w:rsidR="001331F3" w:rsidRDefault="001331F3">
            <w:pPr>
              <w:ind w:right="-10"/>
              <w:jc w:val="both"/>
              <w:rPr>
                <w:bCs/>
                <w:sz w:val="20"/>
                <w:szCs w:val="20"/>
                <w:lang w:val="en-US"/>
              </w:rPr>
            </w:pPr>
          </w:p>
        </w:tc>
        <w:tc>
          <w:tcPr>
            <w:tcW w:w="2551" w:type="dxa"/>
            <w:tcBorders>
              <w:top w:val="nil"/>
              <w:left w:val="nil"/>
              <w:bottom w:val="single" w:sz="8" w:space="0" w:color="000000"/>
              <w:right w:val="nil"/>
            </w:tcBorders>
            <w:hideMark/>
          </w:tcPr>
          <w:p w:rsidR="001331F3" w:rsidRDefault="001331F3">
            <w:pPr>
              <w:ind w:right="-10"/>
              <w:jc w:val="both"/>
              <w:rPr>
                <w:bCs/>
                <w:sz w:val="20"/>
                <w:szCs w:val="20"/>
                <w:lang w:val="en-US"/>
              </w:rPr>
            </w:pPr>
            <w:r>
              <w:rPr>
                <w:sz w:val="20"/>
                <w:szCs w:val="20"/>
                <w:lang w:val="en-US" w:eastAsia="id-ID"/>
              </w:rPr>
              <w:t>14,8%</w:t>
            </w:r>
          </w:p>
        </w:tc>
      </w:tr>
      <w:bookmarkEnd w:id="1"/>
    </w:tbl>
    <w:p w:rsidR="001331F3" w:rsidRDefault="001331F3" w:rsidP="001331F3">
      <w:pPr>
        <w:ind w:right="-10"/>
        <w:jc w:val="both"/>
        <w:rPr>
          <w:b/>
          <w:sz w:val="20"/>
          <w:szCs w:val="20"/>
          <w:lang w:val="en-US"/>
        </w:rPr>
      </w:pPr>
    </w:p>
    <w:p w:rsidR="001331F3" w:rsidRDefault="001331F3" w:rsidP="001331F3"/>
    <w:p w:rsidR="001331F3" w:rsidRDefault="001331F3" w:rsidP="001331F3"/>
    <w:p w:rsidR="001331F3" w:rsidRDefault="001331F3" w:rsidP="001331F3"/>
    <w:p w:rsidR="001331F3" w:rsidRDefault="001331F3" w:rsidP="001331F3"/>
    <w:p w:rsidR="001331F3" w:rsidRDefault="001331F3" w:rsidP="001331F3"/>
    <w:p w:rsidR="001331F3" w:rsidRDefault="001331F3" w:rsidP="001331F3"/>
    <w:p w:rsidR="001331F3" w:rsidRDefault="001331F3" w:rsidP="001331F3">
      <w:pPr>
        <w:jc w:val="both"/>
        <w:rPr>
          <w:sz w:val="20"/>
          <w:szCs w:val="20"/>
          <w:lang w:val="en-US"/>
        </w:rPr>
      </w:pPr>
      <w:r>
        <w:tab/>
      </w:r>
      <w:r>
        <w:rPr>
          <w:sz w:val="20"/>
          <w:szCs w:val="20"/>
          <w:lang w:val="en-US"/>
        </w:rPr>
        <w:t>Berdasarkan tabel diatas menunjukkan bahwa variabel religiusitas memberikan sumbangan efektif terhadap kecemasan menghadapi kematian sebesar 12,3%, sedangkan variabel dukungan sosial memberikan sumbangan efektif terhadap kecemasan menghadapi kematian sebesar 14,8%. Dari hasil tersebut, dapat disimpulkan bahwa kontribusi terbesar terhadap kecemqasan menghadapi kematian berasal dari dukungan sosial.</w:t>
      </w:r>
    </w:p>
    <w:p w:rsidR="001331F3" w:rsidRDefault="001331F3" w:rsidP="001331F3">
      <w:pPr>
        <w:jc w:val="both"/>
        <w:rPr>
          <w:sz w:val="20"/>
          <w:szCs w:val="20"/>
          <w:lang w:val="en-US"/>
        </w:rPr>
      </w:pPr>
    </w:p>
    <w:p w:rsidR="001331F3" w:rsidRDefault="001331F3" w:rsidP="001331F3">
      <w:pPr>
        <w:ind w:right="-10"/>
        <w:jc w:val="both"/>
        <w:rPr>
          <w:b/>
          <w:bCs/>
          <w:sz w:val="20"/>
          <w:szCs w:val="20"/>
        </w:rPr>
      </w:pPr>
      <w:r>
        <w:rPr>
          <w:b/>
          <w:bCs/>
          <w:sz w:val="20"/>
          <w:szCs w:val="20"/>
        </w:rPr>
        <w:t>Pembahasan</w:t>
      </w:r>
    </w:p>
    <w:p w:rsidR="001331F3" w:rsidRDefault="001331F3" w:rsidP="001331F3">
      <w:pPr>
        <w:ind w:right="-10"/>
        <w:jc w:val="both"/>
        <w:rPr>
          <w:bCs/>
          <w:sz w:val="20"/>
          <w:szCs w:val="20"/>
        </w:rPr>
      </w:pPr>
      <w:r>
        <w:rPr>
          <w:b/>
          <w:bCs/>
          <w:sz w:val="20"/>
          <w:szCs w:val="20"/>
        </w:rPr>
        <w:tab/>
      </w:r>
      <w:r>
        <w:rPr>
          <w:bCs/>
          <w:sz w:val="20"/>
          <w:szCs w:val="20"/>
        </w:rPr>
        <w:t xml:space="preserve"> Berdasarkan analisis, ditemukan adanya peranan signifikan antara religiusitas dan kecemasan menghadapi kematian, dengan koefisien korelasi sebesar </w:t>
      </w:r>
      <w:r>
        <w:rPr>
          <w:bCs/>
          <w:sz w:val="20"/>
          <w:szCs w:val="20"/>
          <w:lang w:val="en-US"/>
        </w:rPr>
        <w:t>-</w:t>
      </w:r>
      <w:r>
        <w:rPr>
          <w:bCs/>
          <w:sz w:val="20"/>
          <w:szCs w:val="20"/>
        </w:rPr>
        <w:t xml:space="preserve">0,393 (p&lt;0,001) dan tingkat signifikansi 0,001, yang mendukung diterimanya hipotesis pertama. Religiusitas menunjukkan hubungan negatif yang signifikan dengan kecemasan menghadapi kematian, yang berarti semakin rendah religiusitas, semakin tinggi tingkat kecemasan dalam menghadapi kematian, dan sebaliknya. Selain itu, analisis hubungan antara dukungan sosial dan kecemasan menghadapi kematian menunjukkan nilai sebesar </w:t>
      </w:r>
      <w:r>
        <w:rPr>
          <w:bCs/>
          <w:sz w:val="20"/>
          <w:szCs w:val="20"/>
          <w:lang w:val="en-US"/>
        </w:rPr>
        <w:t>-</w:t>
      </w:r>
      <w:r>
        <w:rPr>
          <w:bCs/>
          <w:sz w:val="20"/>
          <w:szCs w:val="20"/>
        </w:rPr>
        <w:t>0,421 (p&lt;0,001) dengan tingkat signifikansi 0,001, yang mendukung diterimanya hipotesis kedua. Ini menunjukkan adanya hubungan negatif antara dukungan sosial dan kecemasan menghadapi kematian, sehingga semakin rendah dukungan sosial, semakin tinggi kecemasan menghadapi kematian, dan sebaliknya.</w:t>
      </w:r>
    </w:p>
    <w:p w:rsidR="001331F3" w:rsidRDefault="001331F3" w:rsidP="001331F3">
      <w:pPr>
        <w:ind w:right="-10" w:firstLine="720"/>
        <w:jc w:val="both"/>
        <w:rPr>
          <w:bCs/>
          <w:sz w:val="20"/>
          <w:szCs w:val="20"/>
        </w:rPr>
      </w:pPr>
      <w:r>
        <w:rPr>
          <w:bCs/>
          <w:sz w:val="20"/>
          <w:szCs w:val="20"/>
        </w:rPr>
        <w:t xml:space="preserve">Penelitian yang mengungkap bahwa religiusitas dapat memberikan ketenangan dan harapan, serta bagaimana ritual keagamaan dan keyakinan mempengaruhi pandangan tentang kematian </w:t>
      </w:r>
      <w:sdt>
        <w:sdtPr>
          <w:rPr>
            <w:bCs/>
            <w:color w:val="000000"/>
            <w:sz w:val="20"/>
            <w:szCs w:val="20"/>
          </w:rPr>
          <w:tag w:val="MENDELEY_CITATION_v3_eyJjaXRhdGlvbklEIjoiTUVOREVMRVlfQ0lUQVRJT05"/>
          <w:id w:val="-316573854"/>
          <w:placeholder>
            <w:docPart w:val="3D876E3F664549ACA3B7CD495AF9DDBC"/>
          </w:placeholder>
        </w:sdtPr>
        <w:sdtContent>
          <w:r>
            <w:rPr>
              <w:bCs/>
              <w:color w:val="000000"/>
              <w:sz w:val="20"/>
              <w:szCs w:val="20"/>
            </w:rPr>
            <w:t>[29]</w:t>
          </w:r>
        </w:sdtContent>
      </w:sdt>
      <w:r>
        <w:rPr>
          <w:bCs/>
          <w:sz w:val="20"/>
          <w:szCs w:val="20"/>
        </w:rPr>
        <w:t xml:space="preserve">. Tinjauan pustaka mengenai pengaruh religiusitas atau spiritualitas terhadap kesehatan mental, terutama terkait dengan kecemasan dan ketenangan dalam menghadapi kematian, menunjukkan bahwa religiusitas dapat memberikan rasa tujuan dan makna hidup, yang pada gilirannya dapat menurunkan tingkat kecemasan </w:t>
      </w:r>
      <w:sdt>
        <w:sdtPr>
          <w:rPr>
            <w:bCs/>
            <w:color w:val="000000"/>
            <w:sz w:val="20"/>
            <w:szCs w:val="20"/>
          </w:rPr>
          <w:tag w:val="MENDELEY_CITATION_v3_eyJjaXRhdGlvbklEIjoiTUVOREVMRVlfQ0lUQVRJT05"/>
          <w:id w:val="-2114811033"/>
          <w:placeholder>
            <w:docPart w:val="3D876E3F664549ACA3B7CD495AF9DDBC"/>
          </w:placeholder>
        </w:sdtPr>
        <w:sdtContent>
          <w:r>
            <w:rPr>
              <w:bCs/>
              <w:color w:val="000000"/>
              <w:sz w:val="20"/>
              <w:szCs w:val="20"/>
            </w:rPr>
            <w:t>[30]</w:t>
          </w:r>
        </w:sdtContent>
      </w:sdt>
      <w:r>
        <w:rPr>
          <w:bCs/>
          <w:sz w:val="20"/>
          <w:szCs w:val="20"/>
        </w:rPr>
        <w:t>.</w:t>
      </w:r>
    </w:p>
    <w:p w:rsidR="001331F3" w:rsidRDefault="001331F3" w:rsidP="001331F3">
      <w:pPr>
        <w:ind w:right="-10" w:firstLine="720"/>
        <w:jc w:val="both"/>
        <w:rPr>
          <w:bCs/>
          <w:sz w:val="20"/>
          <w:szCs w:val="20"/>
        </w:rPr>
      </w:pPr>
      <w:r>
        <w:rPr>
          <w:bCs/>
          <w:sz w:val="20"/>
          <w:szCs w:val="20"/>
        </w:rPr>
        <w:t xml:space="preserve"> Lansia yang siap menghadapi kecemasan kematian melalui religiusitas biasanya memiliki beberapa ciri khas. Mereka cenderung memiliki keyakinan spiritual yang mendalam, yang memberikan mereka ketenangan dan keyakinan tentang kehidupan setelah kematian, seperti yang dijelaskan oleh Ruch dan Carver </w:t>
      </w:r>
      <w:sdt>
        <w:sdtPr>
          <w:rPr>
            <w:bCs/>
            <w:color w:val="000000"/>
            <w:sz w:val="20"/>
            <w:szCs w:val="20"/>
          </w:rPr>
          <w:tag w:val="MENDELEY_CITATION_v3_eyJjaXRhdGlvbklEIjoiTUVOREVMRVlfQ0lUQVRJT05"/>
          <w:id w:val="1595664306"/>
          <w:placeholder>
            <w:docPart w:val="3D876E3F664549ACA3B7CD495AF9DDBC"/>
          </w:placeholder>
        </w:sdtPr>
        <w:sdtContent>
          <w:r>
            <w:rPr>
              <w:bCs/>
              <w:color w:val="000000"/>
              <w:sz w:val="20"/>
              <w:szCs w:val="20"/>
            </w:rPr>
            <w:t>[31]</w:t>
          </w:r>
        </w:sdtContent>
      </w:sdt>
      <w:r>
        <w:rPr>
          <w:bCs/>
          <w:sz w:val="20"/>
          <w:szCs w:val="20"/>
        </w:rPr>
        <w:t xml:space="preserve">. Praktik religius yang rutin, seperti doa dan ibadah, juga merupakan indikator penting, karena membantu mereka merasa terhubung dengan kekuatan yang lebih tinggi </w:t>
      </w:r>
      <w:sdt>
        <w:sdtPr>
          <w:rPr>
            <w:bCs/>
            <w:color w:val="000000"/>
            <w:sz w:val="20"/>
            <w:szCs w:val="20"/>
          </w:rPr>
          <w:tag w:val="MENDELEY_CITATION_v3_eyJjaXRhdGlvbklEIjoiTUVOREVMRVlfQ0lUQVRJT05"/>
          <w:id w:val="-1348319990"/>
          <w:placeholder>
            <w:docPart w:val="3D876E3F664549ACA3B7CD495AF9DDBC"/>
          </w:placeholder>
        </w:sdtPr>
        <w:sdtContent>
          <w:r>
            <w:rPr>
              <w:bCs/>
              <w:color w:val="000000"/>
              <w:sz w:val="20"/>
              <w:szCs w:val="20"/>
            </w:rPr>
            <w:t>[29]</w:t>
          </w:r>
        </w:sdtContent>
      </w:sdt>
      <w:r>
        <w:rPr>
          <w:bCs/>
          <w:sz w:val="20"/>
          <w:szCs w:val="20"/>
        </w:rPr>
        <w:t xml:space="preserve">. Dukungan dari komunitas religius atau gereja memperkuat kesiapan emosional mereka, menyediakan dukungan dan koneksi sosial yang berharga </w:t>
      </w:r>
      <w:sdt>
        <w:sdtPr>
          <w:rPr>
            <w:bCs/>
            <w:color w:val="000000"/>
            <w:sz w:val="20"/>
            <w:szCs w:val="20"/>
          </w:rPr>
          <w:tag w:val="MENDELEY_CITATION_v3_eyJjaXRhdGlvbklEIjoiTUVOREVMRVlfQ0lUQVRJT05"/>
          <w:id w:val="1362400320"/>
          <w:placeholder>
            <w:docPart w:val="3D876E3F664549ACA3B7CD495AF9DDBC"/>
          </w:placeholder>
        </w:sdtPr>
        <w:sdtContent>
          <w:r>
            <w:rPr>
              <w:bCs/>
              <w:color w:val="000000"/>
              <w:sz w:val="20"/>
              <w:szCs w:val="20"/>
            </w:rPr>
            <w:t>[30]</w:t>
          </w:r>
        </w:sdtContent>
      </w:sdt>
      <w:r>
        <w:rPr>
          <w:bCs/>
          <w:sz w:val="20"/>
          <w:szCs w:val="20"/>
        </w:rPr>
        <w:t xml:space="preserve">. Selain itu, memiliki pandangan positif mengenai kematian sebagai bagian dari siklus kehidupan membantu lansia menghadapi akhir hidup dengan lebih tenang </w:t>
      </w:r>
      <w:sdt>
        <w:sdtPr>
          <w:rPr>
            <w:bCs/>
            <w:color w:val="000000"/>
            <w:sz w:val="20"/>
            <w:szCs w:val="20"/>
          </w:rPr>
          <w:tag w:val="MENDELEY_CITATION_v3_eyJjaXRhdGlvbklEIjoiTUVOREVMRVlfQ0lUQVRJT05"/>
          <w:id w:val="-1957788784"/>
          <w:placeholder>
            <w:docPart w:val="3D876E3F664549ACA3B7CD495AF9DDBC"/>
          </w:placeholder>
        </w:sdtPr>
        <w:sdtContent>
          <w:r>
            <w:rPr>
              <w:color w:val="000000"/>
              <w:sz w:val="20"/>
              <w:szCs w:val="20"/>
            </w:rPr>
            <w:t>[32]</w:t>
          </w:r>
        </w:sdtContent>
      </w:sdt>
      <w:r>
        <w:rPr>
          <w:bCs/>
          <w:sz w:val="20"/>
          <w:szCs w:val="20"/>
        </w:rPr>
        <w:t xml:space="preserve">. Kesejahteraan psikologis dan emosional yang baik, yang seringkali terkait dengan keyakinan religius, juga berperan dalam kesiapan mereka </w:t>
      </w:r>
      <w:sdt>
        <w:sdtPr>
          <w:rPr>
            <w:bCs/>
            <w:color w:val="000000"/>
            <w:sz w:val="20"/>
            <w:szCs w:val="20"/>
          </w:rPr>
          <w:tag w:val="MENDELEY_CITATION_v3_eyJjaXRhdGlvbklEIjoiTUVOREVMRVlfQ0lUQVRJT05"/>
          <w:id w:val="-1709405233"/>
          <w:placeholder>
            <w:docPart w:val="3D876E3F664549ACA3B7CD495AF9DDBC"/>
          </w:placeholder>
        </w:sdtPr>
        <w:sdtContent>
          <w:r>
            <w:rPr>
              <w:bCs/>
              <w:color w:val="000000"/>
              <w:sz w:val="20"/>
              <w:szCs w:val="20"/>
            </w:rPr>
            <w:t>[33]</w:t>
          </w:r>
        </w:sdtContent>
      </w:sdt>
      <w:r>
        <w:rPr>
          <w:bCs/>
          <w:sz w:val="20"/>
          <w:szCs w:val="20"/>
        </w:rPr>
        <w:t>. Secara keseluruhan, ciri-ciri ini menunjukkan bahwa keterhubungan dengan keyakinan religius dapat membantu lansia merasa lebih siap dan tenang dalam menghadapi kematian.</w:t>
      </w:r>
    </w:p>
    <w:p w:rsidR="001331F3" w:rsidRDefault="001331F3" w:rsidP="001331F3">
      <w:pPr>
        <w:ind w:right="-10" w:firstLine="720"/>
        <w:jc w:val="both"/>
        <w:rPr>
          <w:bCs/>
          <w:sz w:val="20"/>
          <w:szCs w:val="20"/>
        </w:rPr>
      </w:pPr>
      <w:r>
        <w:rPr>
          <w:bCs/>
          <w:sz w:val="20"/>
          <w:szCs w:val="20"/>
        </w:rPr>
        <w:t xml:space="preserve">Berbagai jenis dukungan sosial, termasuk dukungan emosional, praktis, dan informasional, serta pengaruh masing-masing terhadap tingkat kecemasan </w:t>
      </w:r>
      <w:sdt>
        <w:sdtPr>
          <w:rPr>
            <w:bCs/>
            <w:color w:val="000000"/>
            <w:sz w:val="20"/>
            <w:szCs w:val="20"/>
          </w:rPr>
          <w:tag w:val="MENDELEY_CITATION_v3_eyJjaXRhdGlvbklEIjoiTUVOREVMRVlfQ0lUQVRJT05"/>
          <w:id w:val="1896778360"/>
          <w:placeholder>
            <w:docPart w:val="3D876E3F664549ACA3B7CD495AF9DDBC"/>
          </w:placeholder>
        </w:sdtPr>
        <w:sdtContent>
          <w:r>
            <w:rPr>
              <w:bCs/>
              <w:color w:val="000000"/>
              <w:sz w:val="20"/>
              <w:szCs w:val="20"/>
            </w:rPr>
            <w:t>[34]</w:t>
          </w:r>
        </w:sdtContent>
      </w:sdt>
      <w:r>
        <w:rPr>
          <w:bCs/>
          <w:sz w:val="20"/>
          <w:szCs w:val="20"/>
        </w:rPr>
        <w:t xml:space="preserve">. Dukungan sosial yang diberikan oleh keluarga, teman, dan komunitas dapat membantu mengurangi kecemasan terhadap kematian pada lansia. Penelitian menunjukkan bahwa dukungan sosial dapat menciptakan rasa keterhubungan dan mengurangi stres </w:t>
      </w:r>
      <w:sdt>
        <w:sdtPr>
          <w:rPr>
            <w:bCs/>
            <w:color w:val="000000"/>
            <w:sz w:val="20"/>
            <w:szCs w:val="20"/>
          </w:rPr>
          <w:tag w:val="MENDELEY_CITATION_v3_eyJjaXRhdGlvbklEIjoiTUVOREVMRVlfQ0lUQVRJT05"/>
          <w:id w:val="1696654113"/>
          <w:placeholder>
            <w:docPart w:val="3D876E3F664549ACA3B7CD495AF9DDBC"/>
          </w:placeholder>
        </w:sdtPr>
        <w:sdtContent>
          <w:r>
            <w:rPr>
              <w:bCs/>
              <w:color w:val="000000"/>
              <w:sz w:val="20"/>
              <w:szCs w:val="20"/>
            </w:rPr>
            <w:t>[35]</w:t>
          </w:r>
        </w:sdtContent>
      </w:sdt>
      <w:r>
        <w:rPr>
          <w:bCs/>
          <w:sz w:val="20"/>
          <w:szCs w:val="20"/>
        </w:rPr>
        <w:t>.</w:t>
      </w:r>
    </w:p>
    <w:p w:rsidR="001331F3" w:rsidRDefault="001331F3" w:rsidP="001331F3">
      <w:pPr>
        <w:ind w:right="-10" w:firstLine="720"/>
        <w:jc w:val="both"/>
        <w:rPr>
          <w:bCs/>
          <w:sz w:val="20"/>
          <w:szCs w:val="20"/>
        </w:rPr>
      </w:pPr>
      <w:r>
        <w:rPr>
          <w:bCs/>
          <w:sz w:val="20"/>
          <w:szCs w:val="20"/>
        </w:rPr>
        <w:lastRenderedPageBreak/>
        <w:t xml:space="preserve">Dukungan sosial adalah elemen krusial bagi kesehatan mental dan kesejahteraan, dengan banyak penelitian terbaru yang mengeksplorasi faktor-faktor yang mempengaruhinya. Beberapa aspek penting yang diidentifikasi dalam jurnal-jurnal terbaru pasca 2019 mencakup kualitas hubungan sosial, di mana kedekatan emosional dan frekuensi interaksi berpengaruh pada tingkat dukungan sosial, dengan hubungan yang dalam dan saling mendukung umumnya memberikan dukungan yang lebih efektif </w:t>
      </w:r>
      <w:sdt>
        <w:sdtPr>
          <w:rPr>
            <w:bCs/>
            <w:color w:val="000000"/>
            <w:sz w:val="20"/>
            <w:szCs w:val="20"/>
          </w:rPr>
          <w:tag w:val="MENDELEY_CITATION_v3_eyJjaXRhdGlvbklEIjoiTUVOREVMRVlfQ0lUQVRJT05"/>
          <w:id w:val="-1098715538"/>
          <w:placeholder>
            <w:docPart w:val="3D876E3F664549ACA3B7CD495AF9DDBC"/>
          </w:placeholder>
        </w:sdtPr>
        <w:sdtContent>
          <w:r>
            <w:rPr>
              <w:color w:val="000000"/>
              <w:sz w:val="20"/>
              <w:szCs w:val="20"/>
            </w:rPr>
            <w:t>[36]</w:t>
          </w:r>
        </w:sdtContent>
      </w:sdt>
      <w:r>
        <w:rPr>
          <w:bCs/>
          <w:sz w:val="20"/>
          <w:szCs w:val="20"/>
        </w:rPr>
        <w:t xml:space="preserve">. Selain itu, keberadaan dukungan sosial yang tersedia saat diperlukan secara aktif memainkan peran penting dalam kesejahteraan individu </w:t>
      </w:r>
      <w:sdt>
        <w:sdtPr>
          <w:rPr>
            <w:bCs/>
            <w:color w:val="000000"/>
            <w:sz w:val="20"/>
            <w:szCs w:val="20"/>
          </w:rPr>
          <w:tag w:val="MENDELEY_CITATION_v3_eyJjaXRhdGlvbklEIjoiTUVOREVMRVlfQ0lUQVRJT05"/>
          <w:id w:val="-1460876573"/>
          <w:placeholder>
            <w:docPart w:val="3D876E3F664549ACA3B7CD495AF9DDBC"/>
          </w:placeholder>
        </w:sdtPr>
        <w:sdtContent>
          <w:r>
            <w:rPr>
              <w:color w:val="000000"/>
              <w:sz w:val="20"/>
              <w:szCs w:val="20"/>
            </w:rPr>
            <w:t>[37]</w:t>
          </w:r>
        </w:sdtContent>
      </w:sdt>
      <w:r>
        <w:rPr>
          <w:bCs/>
          <w:sz w:val="20"/>
          <w:szCs w:val="20"/>
        </w:rPr>
        <w:t>. Persepsi individu terhadap dukungan sosial juga memiliki dampak, di mana persepsi positif terhadap dukungan yang mungkin tidak banyak dapat meningkatkan kepuasan hidup dan kesehatan mental (</w:t>
      </w:r>
      <w:r>
        <w:rPr>
          <w:bCs/>
          <w:sz w:val="20"/>
          <w:szCs w:val="20"/>
          <w:lang w:val="en-US"/>
        </w:rPr>
        <w:t>zongyu</w:t>
      </w:r>
      <w:r>
        <w:rPr>
          <w:bCs/>
          <w:sz w:val="20"/>
          <w:szCs w:val="20"/>
        </w:rPr>
        <w:t xml:space="preserve">., 2023). Dukungan sosial bisa berupa dukungan emosional, instrumental, atau informasi, dan efektivitasnya sering tergantung pada jenis dukungan serta kesesuaiannya dengan kebutuhan individu </w:t>
      </w:r>
      <w:sdt>
        <w:sdtPr>
          <w:rPr>
            <w:bCs/>
            <w:color w:val="000000"/>
            <w:sz w:val="20"/>
            <w:szCs w:val="20"/>
          </w:rPr>
          <w:tag w:val="MENDELEY_CITATION_v3_eyJjaXRhdGlvbklEIjoiTUVOREVMRVlfQ0lUQVRJT05"/>
          <w:id w:val="1685013992"/>
          <w:placeholder>
            <w:docPart w:val="3D876E3F664549ACA3B7CD495AF9DDBC"/>
          </w:placeholder>
        </w:sdtPr>
        <w:sdtContent>
          <w:r>
            <w:rPr>
              <w:color w:val="000000"/>
              <w:sz w:val="20"/>
              <w:szCs w:val="20"/>
            </w:rPr>
            <w:t>[38]</w:t>
          </w:r>
        </w:sdtContent>
      </w:sdt>
      <w:r>
        <w:rPr>
          <w:bCs/>
          <w:sz w:val="20"/>
          <w:szCs w:val="20"/>
        </w:rPr>
        <w:t xml:space="preserve">. </w:t>
      </w:r>
    </w:p>
    <w:p w:rsidR="001331F3" w:rsidRDefault="001331F3" w:rsidP="001331F3">
      <w:pPr>
        <w:ind w:right="-10" w:firstLine="720"/>
        <w:jc w:val="both"/>
        <w:rPr>
          <w:bCs/>
          <w:sz w:val="20"/>
          <w:szCs w:val="20"/>
        </w:rPr>
      </w:pPr>
      <w:r>
        <w:rPr>
          <w:bCs/>
          <w:sz w:val="20"/>
          <w:szCs w:val="20"/>
        </w:rPr>
        <w:t xml:space="preserve">Lingkungan sosial dan budaya juga memainkan peran, di mana norma budaya dan struktur sosial dapat mempengaruhi bagaimana dukungan sosial diberikan dan diterima </w:t>
      </w:r>
      <w:sdt>
        <w:sdtPr>
          <w:rPr>
            <w:bCs/>
            <w:color w:val="000000"/>
            <w:sz w:val="20"/>
            <w:szCs w:val="20"/>
          </w:rPr>
          <w:tag w:val="MENDELEY_CITATION_v3_eyJjaXRhdGlvbklEIjoiTUVOREVMRVlfQ0lUQVRJT05"/>
          <w:id w:val="1547649984"/>
          <w:placeholder>
            <w:docPart w:val="3D876E3F664549ACA3B7CD495AF9DDBC"/>
          </w:placeholder>
        </w:sdtPr>
        <w:sdtContent>
          <w:r>
            <w:rPr>
              <w:bCs/>
              <w:color w:val="000000"/>
              <w:sz w:val="20"/>
              <w:szCs w:val="20"/>
              <w:lang w:val="en-US"/>
            </w:rPr>
            <w:t>[39]</w:t>
          </w:r>
        </w:sdtContent>
      </w:sdt>
      <w:r>
        <w:rPr>
          <w:bCs/>
          <w:sz w:val="20"/>
          <w:szCs w:val="20"/>
        </w:rPr>
        <w:t xml:space="preserve">. Penggunaan teknologi dan media sosial dapat memengaruhi dukungan sosial dengan menyediakan platform untuk interaksi yang mungkin berdampak positif atau negatif tergantung pada konteksnya </w:t>
      </w:r>
      <w:sdt>
        <w:sdtPr>
          <w:rPr>
            <w:bCs/>
            <w:color w:val="000000"/>
            <w:sz w:val="20"/>
            <w:szCs w:val="20"/>
            <w:lang w:val="en-US"/>
          </w:rPr>
          <w:tag w:val="MENDELEY_CITATION_v3_eyJjaXRhdGlvbklEIjoiTUVOREVMRVlfQ0lUQVRJT05"/>
          <w:id w:val="2144382922"/>
          <w:placeholder>
            <w:docPart w:val="3D876E3F664549ACA3B7CD495AF9DDBC"/>
          </w:placeholder>
        </w:sdtPr>
        <w:sdtContent>
          <w:r>
            <w:rPr>
              <w:bCs/>
              <w:color w:val="000000"/>
              <w:sz w:val="20"/>
              <w:szCs w:val="20"/>
            </w:rPr>
            <w:t>[40]</w:t>
          </w:r>
        </w:sdtContent>
      </w:sdt>
      <w:r>
        <w:rPr>
          <w:bCs/>
          <w:sz w:val="20"/>
          <w:szCs w:val="20"/>
        </w:rPr>
        <w:t xml:space="preserve">. Selain itu, kondisi kesehatan fisik dan mental dapat mempengaruhi dukungan sosial, di mana individu dengan masalah kesehatan sering membutuhkan dukungan tambahan yang dapat memengaruhi proses pemulihan mereka </w:t>
      </w:r>
      <w:sdt>
        <w:sdtPr>
          <w:rPr>
            <w:bCs/>
            <w:color w:val="000000"/>
            <w:sz w:val="20"/>
            <w:szCs w:val="20"/>
          </w:rPr>
          <w:tag w:val="MENDELEY_CITATION_v3_eyJjaXRhdGlvbklEIjoiTUVOREVMRVlfQ0lUQVRJT05"/>
          <w:id w:val="-550773335"/>
          <w:placeholder>
            <w:docPart w:val="3D876E3F664549ACA3B7CD495AF9DDBC"/>
          </w:placeholder>
        </w:sdtPr>
        <w:sdtContent>
          <w:r>
            <w:rPr>
              <w:bCs/>
              <w:color w:val="000000"/>
              <w:sz w:val="20"/>
              <w:szCs w:val="20"/>
            </w:rPr>
            <w:t>[41]</w:t>
          </w:r>
        </w:sdtContent>
      </w:sdt>
      <w:r>
        <w:rPr>
          <w:bCs/>
          <w:sz w:val="20"/>
          <w:szCs w:val="20"/>
        </w:rPr>
        <w:t xml:space="preserve">. </w:t>
      </w:r>
    </w:p>
    <w:p w:rsidR="001331F3" w:rsidRDefault="001331F3" w:rsidP="001331F3">
      <w:pPr>
        <w:ind w:right="-10" w:firstLine="720"/>
        <w:jc w:val="both"/>
        <w:rPr>
          <w:bCs/>
          <w:sz w:val="20"/>
          <w:szCs w:val="20"/>
        </w:rPr>
      </w:pPr>
      <w:r>
        <w:rPr>
          <w:bCs/>
          <w:sz w:val="20"/>
          <w:szCs w:val="20"/>
        </w:rPr>
        <w:t xml:space="preserve"> Dukungan sosial dari keluarga, teman, dan komunitas dapat berperan dalam mengurangi kecemasan terkait kematian pada lansia. Penelitian mengindikasikan bahwa dukungan sosial dapat memperkuat rasa keterhubungan dan menurunkan tingkat stres </w:t>
      </w:r>
      <w:sdt>
        <w:sdtPr>
          <w:rPr>
            <w:bCs/>
            <w:color w:val="000000"/>
            <w:sz w:val="20"/>
            <w:szCs w:val="20"/>
          </w:rPr>
          <w:tag w:val="MENDELEY_CITATION_v3_eyJjaXRhdGlvbklEIjoiTUVOREVMRVlfQ0lUQVRJT05"/>
          <w:id w:val="522289486"/>
          <w:placeholder>
            <w:docPart w:val="3D876E3F664549ACA3B7CD495AF9DDBC"/>
          </w:placeholder>
        </w:sdtPr>
        <w:sdtContent>
          <w:r>
            <w:rPr>
              <w:color w:val="000000"/>
              <w:sz w:val="20"/>
              <w:szCs w:val="20"/>
            </w:rPr>
            <w:t>[42]</w:t>
          </w:r>
        </w:sdtContent>
      </w:sdt>
      <w:r>
        <w:rPr>
          <w:bCs/>
          <w:sz w:val="20"/>
          <w:szCs w:val="20"/>
        </w:rPr>
        <w:t>.</w:t>
      </w:r>
    </w:p>
    <w:p w:rsidR="001331F3" w:rsidRDefault="001331F3" w:rsidP="001331F3">
      <w:pPr>
        <w:ind w:right="-10" w:firstLine="720"/>
        <w:jc w:val="both"/>
        <w:rPr>
          <w:bCs/>
          <w:sz w:val="20"/>
          <w:szCs w:val="20"/>
        </w:rPr>
      </w:pPr>
      <w:r>
        <w:rPr>
          <w:bCs/>
          <w:sz w:val="20"/>
          <w:szCs w:val="20"/>
        </w:rPr>
        <w:t xml:space="preserve">Sumbangan efektif yang diberikan religiusitas dengan dukungan sosial kepada kecemasan menghadapi kematian sebesar 27.2% Hal ini menandakan bahwa sebanyak 72.8% fenomena kecemasan menghadapi kematian dipengaruhi oleh variabel lain yang dapat mempengaruhi kecemasan menghadapi kematian pada lansia diantaranya Untuk mengidentifikasi faktor-faktor lain yang memengaruhi kecemasan menghadapi kematian pada lansia selain religiusitas dan dukungan sosial, beberapa variabel tambahan telah ditemukan dalam studi terbaru. Kesehatan fisik dan penyakit kronis, seperti yang dicatat oleh Li dan Wang </w:t>
      </w:r>
      <w:sdt>
        <w:sdtPr>
          <w:rPr>
            <w:bCs/>
            <w:color w:val="000000"/>
            <w:sz w:val="20"/>
            <w:szCs w:val="20"/>
          </w:rPr>
          <w:tag w:val="MENDELEY_CITATION_v3_eyJjaXRhdGlvbklEIjoiTUVOREVMRVlfQ0lUQVRJT05"/>
          <w:id w:val="1935704605"/>
          <w:placeholder>
            <w:docPart w:val="3D876E3F664549ACA3B7CD495AF9DDBC"/>
          </w:placeholder>
        </w:sdtPr>
        <w:sdtContent>
          <w:r>
            <w:rPr>
              <w:color w:val="000000"/>
              <w:sz w:val="20"/>
              <w:szCs w:val="20"/>
            </w:rPr>
            <w:t>[37]</w:t>
          </w:r>
        </w:sdtContent>
      </w:sdt>
      <w:r>
        <w:rPr>
          <w:bCs/>
          <w:sz w:val="20"/>
          <w:szCs w:val="20"/>
        </w:rPr>
        <w:t xml:space="preserve">, dapat meningkatkan kecemasan karena kondisi kesehatan yang buruk sering kali dikaitkan dengan kekhawatiran tentang kematian. Selain itu, kesehatan mental, termasuk depresi dan gangguan kecemasan, juga memberikan kontribusi signifikan terhadap tingkat kecemasan, sebagaimana dijelaskan oleh Pahl dan Knafo-Noam </w:t>
      </w:r>
      <w:sdt>
        <w:sdtPr>
          <w:rPr>
            <w:bCs/>
            <w:color w:val="000000"/>
            <w:sz w:val="20"/>
            <w:szCs w:val="20"/>
          </w:rPr>
          <w:tag w:val="MENDELEY_CITATION_v3_eyJjaXRhdGlvbklEIjoiTUVOREVMRVlfQ0lUQVRJT05"/>
          <w:id w:val="-332536584"/>
          <w:placeholder>
            <w:docPart w:val="3D876E3F664549ACA3B7CD495AF9DDBC"/>
          </w:placeholder>
        </w:sdtPr>
        <w:sdtContent>
          <w:r>
            <w:rPr>
              <w:color w:val="000000"/>
              <w:sz w:val="20"/>
              <w:szCs w:val="20"/>
            </w:rPr>
            <w:t>[43]</w:t>
          </w:r>
        </w:sdtContent>
      </w:sdt>
      <w:r>
        <w:rPr>
          <w:bCs/>
          <w:sz w:val="20"/>
          <w:szCs w:val="20"/>
        </w:rPr>
        <w:t xml:space="preserve">. Pengalaman hidup, termasuk trauma dan pencapaian, serta kesejahteraan psikologis secara keseluruhan, berperan penting dalam cara lansia memandang kematian </w:t>
      </w:r>
      <w:sdt>
        <w:sdtPr>
          <w:rPr>
            <w:bCs/>
            <w:color w:val="000000"/>
            <w:sz w:val="20"/>
            <w:szCs w:val="20"/>
          </w:rPr>
          <w:tag w:val="MENDELEY_CITATION_v3_eyJjaXRhdGlvbklEIjoiTUVOREVMRVlfQ0lUQVRJT05"/>
          <w:id w:val="2064989804"/>
          <w:placeholder>
            <w:docPart w:val="3D876E3F664549ACA3B7CD495AF9DDBC"/>
          </w:placeholder>
        </w:sdtPr>
        <w:sdtContent>
          <w:r>
            <w:rPr>
              <w:color w:val="000000"/>
              <w:sz w:val="20"/>
              <w:szCs w:val="20"/>
            </w:rPr>
            <w:t>[44]</w:t>
          </w:r>
        </w:sdtContent>
      </w:sdt>
      <w:r>
        <w:rPr>
          <w:bCs/>
          <w:sz w:val="20"/>
          <w:szCs w:val="20"/>
        </w:rPr>
        <w:t xml:space="preserve">. Kualitas hubungan sosial dan tingkat isolasi sosial, yang dapat meningkatkan kecemasan, juga merupakan faktor krusial </w:t>
      </w:r>
      <w:sdt>
        <w:sdtPr>
          <w:rPr>
            <w:bCs/>
            <w:color w:val="000000"/>
            <w:sz w:val="20"/>
            <w:szCs w:val="20"/>
          </w:rPr>
          <w:tag w:val="MENDELEY_CITATION_v3_eyJjaXRhdGlvbklEIjoiTUVOREVMRVlfQ0lUQVRJT05"/>
          <w:id w:val="-1517765029"/>
          <w:placeholder>
            <w:docPart w:val="3D876E3F664549ACA3B7CD495AF9DDBC"/>
          </w:placeholder>
        </w:sdtPr>
        <w:sdtContent>
          <w:r>
            <w:rPr>
              <w:color w:val="000000"/>
              <w:sz w:val="20"/>
              <w:szCs w:val="20"/>
            </w:rPr>
            <w:t>[45]</w:t>
          </w:r>
        </w:sdtContent>
      </w:sdt>
      <w:r>
        <w:rPr>
          <w:bCs/>
          <w:sz w:val="20"/>
          <w:szCs w:val="20"/>
        </w:rPr>
        <w:t xml:space="preserve">. Faktor kognitif dan persepsi tentang kematian, termasuk keyakinan dan pemikiran mengenai kematian, mempengaruhi kecemasan, seperti diteliti oleh Van Orden dan Conner </w:t>
      </w:r>
      <w:sdt>
        <w:sdtPr>
          <w:rPr>
            <w:bCs/>
            <w:color w:val="000000"/>
            <w:sz w:val="20"/>
            <w:szCs w:val="20"/>
          </w:rPr>
          <w:tag w:val="MENDELEY_CITATION_v3_eyJjaXRhdGlvbklEIjoiTUVOREVMRVlfQ0lUQVRJT05"/>
          <w:id w:val="416830510"/>
          <w:placeholder>
            <w:docPart w:val="3D876E3F664549ACA3B7CD495AF9DDBC"/>
          </w:placeholder>
        </w:sdtPr>
        <w:sdtContent>
          <w:r>
            <w:rPr>
              <w:color w:val="000000"/>
              <w:sz w:val="20"/>
              <w:szCs w:val="20"/>
            </w:rPr>
            <w:t>[46]</w:t>
          </w:r>
        </w:sdtContent>
      </w:sdt>
      <w:r>
        <w:rPr>
          <w:bCs/>
          <w:sz w:val="20"/>
          <w:szCs w:val="20"/>
        </w:rPr>
        <w:t xml:space="preserve">. Kualitas tidur dan gangguan tidur, yang dapat menambah stres dan kecemasan, juga merupakan aspek penting (Sateia, 2020). Selain itu, keterlibatan dalam aktivitas sosial dan hobi dapat mengurangi kecemasan dengan meningkatkan rasa tujuan dan kualitas hidup, sebagaimana diungkapkan oleh Charles dan Carstensen </w:t>
      </w:r>
      <w:sdt>
        <w:sdtPr>
          <w:rPr>
            <w:bCs/>
            <w:color w:val="000000"/>
            <w:sz w:val="20"/>
            <w:szCs w:val="20"/>
          </w:rPr>
          <w:tag w:val="MENDELEY_CITATION_v3_eyJjaXRhdGlvbklEIjoiTUVOREVMRVlfQ0lUQVRJT05"/>
          <w:id w:val="1673756776"/>
          <w:placeholder>
            <w:docPart w:val="3D876E3F664549ACA3B7CD495AF9DDBC"/>
          </w:placeholder>
        </w:sdtPr>
        <w:sdtContent>
          <w:r>
            <w:rPr>
              <w:color w:val="000000"/>
              <w:sz w:val="20"/>
              <w:szCs w:val="20"/>
            </w:rPr>
            <w:t>[47]</w:t>
          </w:r>
        </w:sdtContent>
      </w:sdt>
      <w:r>
        <w:rPr>
          <w:bCs/>
          <w:sz w:val="20"/>
          <w:szCs w:val="20"/>
        </w:rPr>
        <w:t xml:space="preserve">. Mempertimbangkan faktor-faktor ini memberikan pemahaman yang lebih mendalam tentang elemen-elemen yang mempengaruhi kecemasan menghadapi kematian pada lansia.  faktor lain pribadi seperti kepribadian, kecenderungan untuk mencari dukungan, dan keterampilan sosial mempengaruhi cara dukungan sosial diterima dan dimanfaatkan </w:t>
      </w:r>
      <w:sdt>
        <w:sdtPr>
          <w:rPr>
            <w:bCs/>
            <w:color w:val="000000"/>
            <w:sz w:val="20"/>
            <w:szCs w:val="20"/>
          </w:rPr>
          <w:tag w:val="MENDELEY_CITATION_v3_eyJjaXRhdGlvbklEIjoiTUVOREVMRVlfQ0lUQVRJT05"/>
          <w:id w:val="-1938980408"/>
          <w:placeholder>
            <w:docPart w:val="3D876E3F664549ACA3B7CD495AF9DDBC"/>
          </w:placeholder>
        </w:sdtPr>
        <w:sdtContent>
          <w:r>
            <w:rPr>
              <w:color w:val="000000"/>
              <w:sz w:val="20"/>
              <w:szCs w:val="20"/>
            </w:rPr>
            <w:t>[48]</w:t>
          </w:r>
        </w:sdtContent>
      </w:sdt>
      <w:r>
        <w:rPr>
          <w:bCs/>
          <w:sz w:val="20"/>
          <w:szCs w:val="20"/>
        </w:rPr>
        <w:t>.</w:t>
      </w:r>
    </w:p>
    <w:p w:rsidR="001331F3" w:rsidRDefault="001331F3" w:rsidP="001331F3">
      <w:pPr>
        <w:ind w:right="-10" w:firstLine="720"/>
        <w:jc w:val="both"/>
        <w:rPr>
          <w:bCs/>
          <w:sz w:val="20"/>
          <w:szCs w:val="20"/>
        </w:rPr>
      </w:pPr>
      <w:r>
        <w:rPr>
          <w:bCs/>
          <w:sz w:val="20"/>
          <w:szCs w:val="20"/>
        </w:rPr>
        <w:t xml:space="preserve">Beberapa studi menjelaskan kecemasan mengenai kematian merujuk pada perasaan cemas yang muncul saat individu memikirkan kematian mereka sendiri atau orang lain. Kecemasan ini bisa muncul sebagai kekhawatiran tentang proses kematian, ketidakpastian mengenai apa yang terjadi setelah kematian, atau kesadaran akan kematian yang tidak dapat dihindari </w:t>
      </w:r>
      <w:sdt>
        <w:sdtPr>
          <w:rPr>
            <w:bCs/>
            <w:color w:val="000000"/>
            <w:sz w:val="20"/>
            <w:szCs w:val="20"/>
          </w:rPr>
          <w:tag w:val="MENDELEY_CITATION_v3_eyJjaXRhdGlvbklEIjoiTUVOREVMRVlfQ0lUQVRJT05"/>
          <w:id w:val="1137755538"/>
          <w:placeholder>
            <w:docPart w:val="3D876E3F664549ACA3B7CD495AF9DDBC"/>
          </w:placeholder>
        </w:sdtPr>
        <w:sdtContent>
          <w:r>
            <w:rPr>
              <w:color w:val="000000"/>
              <w:sz w:val="20"/>
              <w:szCs w:val="20"/>
            </w:rPr>
            <w:t>[46]</w:t>
          </w:r>
        </w:sdtContent>
      </w:sdt>
      <w:r>
        <w:rPr>
          <w:bCs/>
          <w:sz w:val="20"/>
          <w:szCs w:val="20"/>
        </w:rPr>
        <w:t>. Berdasarkan hal tersebut, tingkat kecemasan yang tinggi terhadap kematian dapat mempengaruhi seseorang baik dalam aspek religius maupun sosial.</w:t>
      </w:r>
    </w:p>
    <w:p w:rsidR="001331F3" w:rsidRDefault="001331F3" w:rsidP="001331F3">
      <w:pPr>
        <w:ind w:right="-10" w:firstLine="720"/>
        <w:jc w:val="both"/>
        <w:rPr>
          <w:bCs/>
          <w:sz w:val="20"/>
          <w:szCs w:val="20"/>
          <w:lang w:val="en-US"/>
        </w:rPr>
      </w:pPr>
      <w:r>
        <w:rPr>
          <w:bCs/>
          <w:sz w:val="20"/>
          <w:szCs w:val="20"/>
        </w:rPr>
        <w:t>Penelitian ini mungkin memiliki keterbatasan dalam menggeneralisasi temuan karena sampel yang digunakan mungkin tidak mewakili seluruh populasi lanjut usia, terutama jika sampel diambil dari lokasi atau kelompok tertentu</w:t>
      </w:r>
      <w:r>
        <w:rPr>
          <w:bCs/>
          <w:sz w:val="20"/>
          <w:szCs w:val="20"/>
          <w:lang w:val="en-US"/>
        </w:rPr>
        <w:t xml:space="preserve">, </w:t>
      </w:r>
      <w:r>
        <w:rPr>
          <w:bCs/>
          <w:sz w:val="20"/>
          <w:szCs w:val="20"/>
        </w:rPr>
        <w:t>Religiusitas dan dukungan sosial bisa sangat dipengaruhi oleh konteks budaya tertentu, sehingga temuan penelitian ini mungkin tidak dapat diterapkan pada populasi lanjut usia di budaya yang berbeda</w:t>
      </w:r>
      <w:r>
        <w:rPr>
          <w:bCs/>
          <w:sz w:val="20"/>
          <w:szCs w:val="20"/>
          <w:lang w:val="en-US"/>
        </w:rPr>
        <w:t xml:space="preserve">, </w:t>
      </w:r>
      <w:r>
        <w:rPr>
          <w:bCs/>
          <w:sz w:val="20"/>
          <w:szCs w:val="20"/>
        </w:rPr>
        <w:t>Penting untuk mempertimbangkan keterbatasan ini ketika menafsirkan hasil penelitian dan dalam upaya untuk mengembangkan studi lanjutan</w:t>
      </w:r>
      <w:r>
        <w:rPr>
          <w:bCs/>
          <w:sz w:val="20"/>
          <w:szCs w:val="20"/>
          <w:lang w:val="en-US"/>
        </w:rPr>
        <w:t>.</w:t>
      </w:r>
    </w:p>
    <w:p w:rsidR="001331F3" w:rsidRDefault="001331F3" w:rsidP="001331F3">
      <w:pPr>
        <w:ind w:right="-10" w:firstLine="720"/>
        <w:jc w:val="both"/>
        <w:rPr>
          <w:bCs/>
          <w:sz w:val="20"/>
          <w:szCs w:val="20"/>
        </w:rPr>
      </w:pPr>
      <w:r>
        <w:rPr>
          <w:bCs/>
          <w:sz w:val="20"/>
          <w:szCs w:val="20"/>
        </w:rPr>
        <w:t>Penelitian ini diharapkan dapat memberikan wawasan baru mengenai kecemasan menghadapi kematian pada lansia yang ditinjau dari aspek religiusitas dan dukungan sosial, sehingga dapat membantu pihak-pihak terkait, seperti lembaga sosial, dalam mengembangkan pemahaman mengenai peran religiusitas dan dukungan sosial.</w:t>
      </w:r>
    </w:p>
    <w:p w:rsidR="000C52D0" w:rsidRDefault="000C52D0" w:rsidP="001331F3">
      <w:pPr>
        <w:pBdr>
          <w:top w:val="nil"/>
          <w:left w:val="nil"/>
          <w:bottom w:val="nil"/>
          <w:right w:val="nil"/>
          <w:between w:val="nil"/>
        </w:pBdr>
        <w:jc w:val="both"/>
        <w:rPr>
          <w:color w:val="000000"/>
          <w:sz w:val="20"/>
          <w:szCs w:val="20"/>
        </w:rPr>
      </w:pPr>
    </w:p>
    <w:p w:rsidR="00BE5093" w:rsidRDefault="0009570F">
      <w:pPr>
        <w:pStyle w:val="Heading1"/>
        <w:numPr>
          <w:ilvl w:val="0"/>
          <w:numId w:val="3"/>
        </w:numPr>
        <w:rPr>
          <w:sz w:val="24"/>
          <w:szCs w:val="24"/>
        </w:rPr>
      </w:pPr>
      <w:r>
        <w:rPr>
          <w:sz w:val="24"/>
          <w:szCs w:val="24"/>
        </w:rPr>
        <w:lastRenderedPageBreak/>
        <w:t>VII. Simpulan</w:t>
      </w:r>
    </w:p>
    <w:p w:rsidR="001331F3" w:rsidRDefault="001331F3" w:rsidP="001331F3">
      <w:pPr>
        <w:pStyle w:val="Heading1"/>
        <w:numPr>
          <w:ilvl w:val="0"/>
          <w:numId w:val="0"/>
        </w:numPr>
        <w:tabs>
          <w:tab w:val="left" w:pos="720"/>
        </w:tabs>
        <w:rPr>
          <w:sz w:val="24"/>
        </w:rPr>
      </w:pPr>
      <w:r>
        <w:rPr>
          <w:sz w:val="24"/>
          <w:lang w:val="en-ID"/>
        </w:rPr>
        <w:t>VII</w:t>
      </w:r>
      <w:r>
        <w:rPr>
          <w:sz w:val="24"/>
        </w:rPr>
        <w:t>. Kesimpulan</w:t>
      </w:r>
    </w:p>
    <w:p w:rsidR="001331F3" w:rsidRDefault="001331F3" w:rsidP="001331F3">
      <w:pPr>
        <w:ind w:firstLine="720"/>
        <w:jc w:val="both"/>
        <w:rPr>
          <w:sz w:val="20"/>
          <w:szCs w:val="20"/>
          <w:lang w:val="en-US"/>
        </w:rPr>
      </w:pPr>
      <w:r>
        <w:rPr>
          <w:sz w:val="20"/>
          <w:szCs w:val="20"/>
        </w:rPr>
        <w:t xml:space="preserve">Secara keseluruhan, </w:t>
      </w:r>
      <w:r>
        <w:rPr>
          <w:sz w:val="20"/>
          <w:szCs w:val="20"/>
          <w:lang w:val="en-US"/>
        </w:rPr>
        <w:t>maka peneliti menyimpulkan bahwa hipotesa mayor terpenuhi yaitu terdapat pengaruh secara simultan antara variabel religiusitas dan dukungan sosial terhadap kecemasan menghadapi kematian pada lansia, sementara hipotesa minor 1 dan minor 2 diterima, yaitu variabel religiusitas dan dukungan sosial secara parsial berpengaruh terhadap kecemasan menghadapi kematian pada lansia. Besaran pengaruh variabel dukungan sosial lebih tinggi daripada variabel religiusitas.</w:t>
      </w:r>
    </w:p>
    <w:p w:rsidR="001331F3" w:rsidRDefault="001331F3" w:rsidP="001331F3">
      <w:pPr>
        <w:ind w:firstLine="720"/>
        <w:jc w:val="both"/>
        <w:rPr>
          <w:sz w:val="20"/>
          <w:szCs w:val="20"/>
          <w:lang w:val="en-US"/>
        </w:rPr>
      </w:pPr>
      <w:bookmarkStart w:id="2" w:name="_Hlk174322068"/>
      <w:r>
        <w:rPr>
          <w:sz w:val="20"/>
          <w:szCs w:val="20"/>
          <w:lang w:val="en-US"/>
        </w:rPr>
        <w:t>Penelitian ini dapat memberikan kontribusi teoritis mengenai bidang psikologi dan intervensi berbasis reigiusitas dan dukungan sosial untuk mengurangi kecemasan menghadapi kematian pada lanjut usia</w:t>
      </w:r>
      <w:bookmarkEnd w:id="2"/>
      <w:r>
        <w:rPr>
          <w:sz w:val="20"/>
          <w:szCs w:val="20"/>
          <w:lang w:val="en-US"/>
        </w:rPr>
        <w:t xml:space="preserve">. </w:t>
      </w:r>
      <w:r>
        <w:rPr>
          <w:sz w:val="20"/>
          <w:szCs w:val="20"/>
        </w:rPr>
        <w:t>Peneliti selanjutnya disarankan untuk memperluas cakupan sampel dengan melibatkan partisipan dari berbagai latar belakang budaya, sosial, dan ekonomi untuk meningkatkan generalisasi temuan</w:t>
      </w:r>
      <w:r>
        <w:rPr>
          <w:sz w:val="20"/>
          <w:szCs w:val="20"/>
          <w:lang w:val="en-US"/>
        </w:rPr>
        <w:t xml:space="preserve">, untuk lansia </w:t>
      </w:r>
      <w:r>
        <w:rPr>
          <w:sz w:val="20"/>
          <w:szCs w:val="20"/>
        </w:rPr>
        <w:t>Lansia dapat disarankan untuk lebih aktif dalam kegiatan keagamaan atau spiritual, baik secara individu maupun dalam komunitas. Hal ini dapat memberikan rasa damai dan membantu mereka mengatasi kecemasan yang berkaitan dengan kematian</w:t>
      </w:r>
      <w:r>
        <w:rPr>
          <w:sz w:val="20"/>
          <w:szCs w:val="20"/>
          <w:lang w:val="en-US"/>
        </w:rPr>
        <w:t xml:space="preserve">, untuk lembaga sosial, </w:t>
      </w:r>
      <w:r>
        <w:rPr>
          <w:sz w:val="20"/>
          <w:szCs w:val="20"/>
        </w:rPr>
        <w:t>dapat mengembangkan dan menyediakan program dukungan spiritual yang dirancang khusus untuk lansia, termasuk kegiatan keagamaan, diskusi spiritual, dan sesi konseling dengan pemuka agama untuk membantu mengurangi kecemasan terkait kematian</w:t>
      </w:r>
      <w:r>
        <w:rPr>
          <w:sz w:val="20"/>
          <w:szCs w:val="20"/>
          <w:lang w:val="en-US"/>
        </w:rPr>
        <w:t>.</w:t>
      </w:r>
    </w:p>
    <w:p w:rsidR="001331F3" w:rsidRPr="001331F3" w:rsidRDefault="001331F3" w:rsidP="001331F3">
      <w:pPr>
        <w:rPr>
          <w:sz w:val="20"/>
          <w:szCs w:val="20"/>
        </w:rPr>
      </w:pPr>
    </w:p>
    <w:p w:rsidR="00BE5093" w:rsidRDefault="0009570F">
      <w:pPr>
        <w:pStyle w:val="Heading1"/>
        <w:numPr>
          <w:ilvl w:val="0"/>
          <w:numId w:val="3"/>
        </w:numPr>
        <w:rPr>
          <w:sz w:val="24"/>
          <w:szCs w:val="24"/>
        </w:rPr>
      </w:pPr>
      <w:r>
        <w:rPr>
          <w:sz w:val="24"/>
          <w:szCs w:val="24"/>
        </w:rPr>
        <w:t xml:space="preserve">Ucapan Terima Kasih </w:t>
      </w:r>
    </w:p>
    <w:p w:rsidR="001331F3" w:rsidRPr="001331F3" w:rsidRDefault="001331F3" w:rsidP="001331F3">
      <w:pPr>
        <w:pStyle w:val="JSKReferenceItem"/>
        <w:rPr>
          <w:sz w:val="20"/>
          <w:szCs w:val="20"/>
        </w:rPr>
      </w:pPr>
      <w:r w:rsidRPr="001331F3">
        <w:rPr>
          <w:sz w:val="20"/>
          <w:szCs w:val="20"/>
        </w:rPr>
        <w:t>Penulis menyampaikan rasa terima kasih kepada pihak liponsos keputih surabaya yang telah mendukung penelitian. Kami berharap hasil penelitian ini dapat memberikan manfaat, kontribusi positif dalam memahami serta mengatasi kecemasan menghadapi kematian pada lanjut usia.</w:t>
      </w:r>
    </w:p>
    <w:p w:rsidR="001331F3" w:rsidRPr="001331F3" w:rsidRDefault="001331F3" w:rsidP="001331F3">
      <w:pPr>
        <w:rPr>
          <w:sz w:val="20"/>
          <w:szCs w:val="20"/>
        </w:rPr>
      </w:pPr>
    </w:p>
    <w:p w:rsidR="00BE5093" w:rsidRDefault="0009570F">
      <w:pPr>
        <w:pStyle w:val="Heading1"/>
        <w:numPr>
          <w:ilvl w:val="0"/>
          <w:numId w:val="3"/>
        </w:numPr>
        <w:tabs>
          <w:tab w:val="left" w:pos="0"/>
        </w:tabs>
        <w:rPr>
          <w:sz w:val="24"/>
          <w:szCs w:val="24"/>
        </w:rPr>
      </w:pPr>
      <w:r>
        <w:rPr>
          <w:sz w:val="24"/>
          <w:szCs w:val="24"/>
        </w:rPr>
        <w:t>Referensi</w:t>
      </w:r>
    </w:p>
    <w:sdt>
      <w:sdtPr>
        <w:rPr>
          <w:sz w:val="20"/>
          <w:szCs w:val="20"/>
        </w:rPr>
        <w:tag w:val="MENDELEY_BIBLIOGRAPHY"/>
        <w:id w:val="466172712"/>
        <w:placeholder>
          <w:docPart w:val="95BBC91E1BCB4D41B96C3343DCEA1EC1"/>
        </w:placeholder>
      </w:sdtPr>
      <w:sdtContent>
        <w:p w:rsidR="001331F3" w:rsidRPr="001331F3" w:rsidRDefault="001331F3" w:rsidP="001331F3">
          <w:pPr>
            <w:pStyle w:val="JSKReferenceItem"/>
            <w:ind w:left="720" w:hanging="720"/>
            <w:rPr>
              <w:sz w:val="20"/>
              <w:szCs w:val="20"/>
            </w:rPr>
          </w:pPr>
          <w:r w:rsidRPr="001331F3">
            <w:rPr>
              <w:sz w:val="20"/>
              <w:szCs w:val="20"/>
            </w:rPr>
            <w:t>[1]</w:t>
          </w:r>
          <w:r w:rsidRPr="001331F3">
            <w:rPr>
              <w:sz w:val="20"/>
              <w:szCs w:val="20"/>
            </w:rPr>
            <w:tab/>
            <w:t>J. W. Santrock, Life Span Development : Perkembangan Masa Hidup Edisi Ketiga Belas, Ketiga Belas. Jakarta: Erlangga, 2018.</w:t>
          </w:r>
        </w:p>
        <w:p w:rsidR="001331F3" w:rsidRPr="001331F3" w:rsidRDefault="001331F3" w:rsidP="001331F3">
          <w:pPr>
            <w:pStyle w:val="JSKReferenceItem"/>
            <w:ind w:left="720" w:hanging="720"/>
            <w:rPr>
              <w:sz w:val="20"/>
              <w:szCs w:val="20"/>
            </w:rPr>
          </w:pPr>
          <w:r w:rsidRPr="001331F3">
            <w:rPr>
              <w:sz w:val="20"/>
              <w:szCs w:val="20"/>
            </w:rPr>
            <w:t>[2]</w:t>
          </w:r>
          <w:r w:rsidRPr="001331F3">
            <w:rPr>
              <w:sz w:val="20"/>
              <w:szCs w:val="20"/>
            </w:rPr>
            <w:tab/>
            <w:t>E. B. Hurlock, Psikologi Perkembangan: Suatu Pendekatan Sepanjang Rentang Kehidupan Terjemahan oleh Istiwidayanti dan Soedjarwo. Jakarta: Erlangga, 2016.</w:t>
          </w:r>
        </w:p>
        <w:p w:rsidR="001331F3" w:rsidRPr="001331F3" w:rsidRDefault="001331F3" w:rsidP="001331F3">
          <w:pPr>
            <w:pStyle w:val="JSKReferenceItem"/>
            <w:ind w:left="720" w:hanging="720"/>
            <w:rPr>
              <w:sz w:val="20"/>
              <w:szCs w:val="20"/>
            </w:rPr>
          </w:pPr>
          <w:r w:rsidRPr="001331F3">
            <w:rPr>
              <w:sz w:val="20"/>
              <w:szCs w:val="20"/>
            </w:rPr>
            <w:t>[3]</w:t>
          </w:r>
          <w:r w:rsidRPr="001331F3">
            <w:rPr>
              <w:sz w:val="20"/>
              <w:szCs w:val="20"/>
            </w:rPr>
            <w:tab/>
            <w:t>Kemenkes RI, Peraturan Menteri Kesehatan Republik Indonesia. 2016.</w:t>
          </w:r>
        </w:p>
        <w:p w:rsidR="001331F3" w:rsidRPr="001331F3" w:rsidRDefault="001331F3" w:rsidP="001331F3">
          <w:pPr>
            <w:pStyle w:val="JSKReferenceItem"/>
            <w:ind w:left="720" w:hanging="720"/>
            <w:rPr>
              <w:sz w:val="20"/>
              <w:szCs w:val="20"/>
            </w:rPr>
          </w:pPr>
          <w:r w:rsidRPr="001331F3">
            <w:rPr>
              <w:sz w:val="20"/>
              <w:szCs w:val="20"/>
            </w:rPr>
            <w:t>[4]</w:t>
          </w:r>
          <w:r w:rsidRPr="001331F3">
            <w:rPr>
              <w:sz w:val="20"/>
              <w:szCs w:val="20"/>
            </w:rPr>
            <w:tab/>
            <w:t xml:space="preserve">D. Fitri and A. &amp; Ifdil, “Konsep Kecemasan (Anxiety) pada Lanjut Usia (Lansia),” </w:t>
          </w:r>
          <w:r w:rsidRPr="001331F3">
            <w:rPr>
              <w:iCs/>
              <w:sz w:val="20"/>
              <w:szCs w:val="20"/>
            </w:rPr>
            <w:t>Ejournal UNP</w:t>
          </w:r>
          <w:r w:rsidRPr="001331F3">
            <w:rPr>
              <w:sz w:val="20"/>
              <w:szCs w:val="20"/>
            </w:rPr>
            <w:t>, vol. 5, no. 2, 2016, [Online]. Available: http://ejournal.unp.ac.id/index.php/konselor</w:t>
          </w:r>
        </w:p>
        <w:p w:rsidR="001331F3" w:rsidRPr="001331F3" w:rsidRDefault="001331F3" w:rsidP="001331F3">
          <w:pPr>
            <w:pStyle w:val="JSKReferenceItem"/>
            <w:ind w:left="720" w:hanging="720"/>
            <w:rPr>
              <w:sz w:val="20"/>
              <w:szCs w:val="20"/>
            </w:rPr>
          </w:pPr>
          <w:r w:rsidRPr="001331F3">
            <w:rPr>
              <w:sz w:val="20"/>
              <w:szCs w:val="20"/>
            </w:rPr>
            <w:t>[5]</w:t>
          </w:r>
          <w:r w:rsidRPr="001331F3">
            <w:rPr>
              <w:sz w:val="20"/>
              <w:szCs w:val="20"/>
            </w:rPr>
            <w:tab/>
            <w:t xml:space="preserve">D. Adelina, T. Noor, and E. D. Soeharto, “Hubungan Kecerdasan Ruhaniah dengan Kesiapan Menghadapi Kematian pada Lansia,” </w:t>
          </w:r>
          <w:r w:rsidRPr="001331F3">
            <w:rPr>
              <w:iCs/>
              <w:sz w:val="20"/>
              <w:szCs w:val="20"/>
            </w:rPr>
            <w:t>Jurnal Wina-Dela</w:t>
          </w:r>
          <w:r w:rsidRPr="001331F3">
            <w:rPr>
              <w:sz w:val="20"/>
              <w:szCs w:val="20"/>
            </w:rPr>
            <w:t>, pp. 1–13, 2012.</w:t>
          </w:r>
        </w:p>
        <w:p w:rsidR="001331F3" w:rsidRPr="001331F3" w:rsidRDefault="001331F3" w:rsidP="001331F3">
          <w:pPr>
            <w:pStyle w:val="JSKReferenceItem"/>
            <w:ind w:left="720" w:hanging="720"/>
            <w:rPr>
              <w:sz w:val="20"/>
              <w:szCs w:val="20"/>
            </w:rPr>
          </w:pPr>
          <w:r w:rsidRPr="001331F3">
            <w:rPr>
              <w:sz w:val="20"/>
              <w:szCs w:val="20"/>
            </w:rPr>
            <w:t>[6]</w:t>
          </w:r>
          <w:r w:rsidRPr="001331F3">
            <w:rPr>
              <w:sz w:val="20"/>
              <w:szCs w:val="20"/>
            </w:rPr>
            <w:tab/>
            <w:t xml:space="preserve">R. Keane, </w:t>
          </w:r>
          <w:r w:rsidRPr="001331F3">
            <w:rPr>
              <w:iCs/>
              <w:sz w:val="20"/>
              <w:szCs w:val="20"/>
            </w:rPr>
            <w:t xml:space="preserve">Essential of Clinical Geriatrics </w:t>
          </w:r>
          <w:r w:rsidRPr="001331F3">
            <w:rPr>
              <w:sz w:val="20"/>
              <w:szCs w:val="20"/>
            </w:rPr>
            <w:t>. Singapore: Mc. Graw-Hill, 1989.</w:t>
          </w:r>
        </w:p>
        <w:p w:rsidR="001331F3" w:rsidRPr="001331F3" w:rsidRDefault="001331F3" w:rsidP="001331F3">
          <w:pPr>
            <w:pStyle w:val="JSKReferenceItem"/>
            <w:ind w:left="720" w:hanging="720"/>
            <w:rPr>
              <w:sz w:val="20"/>
              <w:szCs w:val="20"/>
            </w:rPr>
          </w:pPr>
          <w:r w:rsidRPr="001331F3">
            <w:rPr>
              <w:sz w:val="20"/>
              <w:szCs w:val="20"/>
            </w:rPr>
            <w:t>[7]</w:t>
          </w:r>
          <w:r w:rsidRPr="001331F3">
            <w:rPr>
              <w:sz w:val="20"/>
              <w:szCs w:val="20"/>
            </w:rPr>
            <w:tab/>
            <w:t xml:space="preserve">T. Widyastuti, M. A. Hakim, and S. Lilik, “Terapi Zikir sebagai Intervensi untuk Menurunkan Kecemasan pada Lansia,” </w:t>
          </w:r>
          <w:r w:rsidRPr="001331F3">
            <w:rPr>
              <w:iCs/>
              <w:sz w:val="20"/>
              <w:szCs w:val="20"/>
            </w:rPr>
            <w:t>Gadjah Mada Journal of Professional Psychology (GamaJPP)</w:t>
          </w:r>
          <w:r w:rsidRPr="001331F3">
            <w:rPr>
              <w:sz w:val="20"/>
              <w:szCs w:val="20"/>
            </w:rPr>
            <w:t>, vol. 5, no. 2, p. 147, Oct. 2019, doi: 10.22146/gamajpp.13543.</w:t>
          </w:r>
        </w:p>
        <w:p w:rsidR="001331F3" w:rsidRPr="001331F3" w:rsidRDefault="001331F3" w:rsidP="001331F3">
          <w:pPr>
            <w:pStyle w:val="JSKReferenceItem"/>
            <w:ind w:left="720" w:hanging="720"/>
            <w:rPr>
              <w:sz w:val="20"/>
              <w:szCs w:val="20"/>
            </w:rPr>
          </w:pPr>
          <w:r w:rsidRPr="001331F3">
            <w:rPr>
              <w:sz w:val="20"/>
              <w:szCs w:val="20"/>
            </w:rPr>
            <w:t>[8]</w:t>
          </w:r>
          <w:r w:rsidRPr="001331F3">
            <w:rPr>
              <w:sz w:val="20"/>
              <w:szCs w:val="20"/>
            </w:rPr>
            <w:tab/>
            <w:t xml:space="preserve">J. Feist, J. Gregory, and Handriatno, </w:t>
          </w:r>
          <w:r w:rsidRPr="001331F3">
            <w:rPr>
              <w:iCs/>
              <w:sz w:val="20"/>
              <w:szCs w:val="20"/>
            </w:rPr>
            <w:t>Teori kepribadian = theories of personality</w:t>
          </w:r>
          <w:r w:rsidRPr="001331F3">
            <w:rPr>
              <w:sz w:val="20"/>
              <w:szCs w:val="20"/>
            </w:rPr>
            <w:t>, 7 th. Jakarta: Salemba Humanika, 2014.</w:t>
          </w:r>
        </w:p>
        <w:p w:rsidR="001331F3" w:rsidRPr="001331F3" w:rsidRDefault="001331F3" w:rsidP="001331F3">
          <w:pPr>
            <w:pStyle w:val="JSKReferenceItem"/>
            <w:ind w:left="720" w:hanging="720"/>
            <w:rPr>
              <w:sz w:val="20"/>
              <w:szCs w:val="20"/>
            </w:rPr>
          </w:pPr>
          <w:r w:rsidRPr="001331F3">
            <w:rPr>
              <w:sz w:val="20"/>
              <w:szCs w:val="20"/>
            </w:rPr>
            <w:t>[9]</w:t>
          </w:r>
          <w:r w:rsidRPr="001331F3">
            <w:rPr>
              <w:sz w:val="20"/>
              <w:szCs w:val="20"/>
            </w:rPr>
            <w:tab/>
            <w:t xml:space="preserve">R. Kurniasih and S. Nurjanah, “Hubungan Dukungan Keluarga dengan Kecemasan akan Kematian pada Lansia,” </w:t>
          </w:r>
          <w:r w:rsidRPr="001331F3">
            <w:rPr>
              <w:iCs/>
              <w:sz w:val="20"/>
              <w:szCs w:val="20"/>
            </w:rPr>
            <w:t>Jurnal Keperawatan Jiwa</w:t>
          </w:r>
          <w:r w:rsidRPr="001331F3">
            <w:rPr>
              <w:sz w:val="20"/>
              <w:szCs w:val="20"/>
            </w:rPr>
            <w:t>, vol. 8, no. 4, pp. 391–400, 2020.</w:t>
          </w:r>
        </w:p>
        <w:p w:rsidR="001331F3" w:rsidRPr="001331F3" w:rsidRDefault="001331F3" w:rsidP="001331F3">
          <w:pPr>
            <w:pStyle w:val="JSKReferenceItem"/>
            <w:ind w:left="720" w:hanging="720"/>
            <w:rPr>
              <w:sz w:val="20"/>
              <w:szCs w:val="20"/>
            </w:rPr>
          </w:pPr>
          <w:r w:rsidRPr="001331F3">
            <w:rPr>
              <w:sz w:val="20"/>
              <w:szCs w:val="20"/>
            </w:rPr>
            <w:t>[10]</w:t>
          </w:r>
          <w:r w:rsidRPr="001331F3">
            <w:rPr>
              <w:sz w:val="20"/>
              <w:szCs w:val="20"/>
            </w:rPr>
            <w:tab/>
            <w:t>CNN Indonesia, “Tak Selalu Buruk, Ketahui 4 Manfaat Rasa Cemas,” https://www.cnnindonesia.com/gayahidup/20190813154014-284-420921/tak-selalu-buruk-ketahui-4-manfaat-rasa-cemas.</w:t>
          </w:r>
        </w:p>
        <w:p w:rsidR="001331F3" w:rsidRPr="001331F3" w:rsidRDefault="001331F3" w:rsidP="001331F3">
          <w:pPr>
            <w:pStyle w:val="JSKReferenceItem"/>
            <w:ind w:left="720" w:hanging="720"/>
            <w:rPr>
              <w:sz w:val="20"/>
              <w:szCs w:val="20"/>
            </w:rPr>
          </w:pPr>
          <w:r w:rsidRPr="001331F3">
            <w:rPr>
              <w:sz w:val="20"/>
              <w:szCs w:val="20"/>
            </w:rPr>
            <w:t>[11]</w:t>
          </w:r>
          <w:r w:rsidRPr="001331F3">
            <w:rPr>
              <w:sz w:val="20"/>
              <w:szCs w:val="20"/>
            </w:rPr>
            <w:tab/>
            <w:t>Kementrian Agama RI, “Qur’an Kemenag,” https://quran.kemenag.go.id/.</w:t>
          </w:r>
        </w:p>
        <w:p w:rsidR="001331F3" w:rsidRPr="001331F3" w:rsidRDefault="001331F3" w:rsidP="001331F3">
          <w:pPr>
            <w:pStyle w:val="JSKReferenceItem"/>
            <w:ind w:left="720" w:hanging="720"/>
            <w:rPr>
              <w:sz w:val="20"/>
              <w:szCs w:val="20"/>
            </w:rPr>
          </w:pPr>
          <w:r w:rsidRPr="001331F3">
            <w:rPr>
              <w:sz w:val="20"/>
              <w:szCs w:val="20"/>
            </w:rPr>
            <w:t>[12]</w:t>
          </w:r>
          <w:r w:rsidRPr="001331F3">
            <w:rPr>
              <w:sz w:val="20"/>
              <w:szCs w:val="20"/>
            </w:rPr>
            <w:tab/>
            <w:t xml:space="preserve">K. Hidayat, </w:t>
          </w:r>
          <w:r w:rsidRPr="001331F3">
            <w:rPr>
              <w:iCs/>
              <w:sz w:val="20"/>
              <w:szCs w:val="20"/>
            </w:rPr>
            <w:t>Psikologi Kematian : Mengubah Ketakutan Menjadi Optimisme</w:t>
          </w:r>
          <w:r w:rsidRPr="001331F3">
            <w:rPr>
              <w:sz w:val="20"/>
              <w:szCs w:val="20"/>
            </w:rPr>
            <w:t>, 4 th. Bandung: Mizan Media Utama, 2022.</w:t>
          </w:r>
        </w:p>
        <w:p w:rsidR="001331F3" w:rsidRPr="001331F3" w:rsidRDefault="001331F3" w:rsidP="001331F3">
          <w:pPr>
            <w:pStyle w:val="JSKReferenceItem"/>
            <w:ind w:left="720" w:hanging="720"/>
            <w:rPr>
              <w:sz w:val="20"/>
              <w:szCs w:val="20"/>
            </w:rPr>
          </w:pPr>
          <w:r w:rsidRPr="001331F3">
            <w:rPr>
              <w:sz w:val="20"/>
              <w:szCs w:val="20"/>
            </w:rPr>
            <w:t>[13]</w:t>
          </w:r>
          <w:r w:rsidRPr="001331F3">
            <w:rPr>
              <w:sz w:val="20"/>
              <w:szCs w:val="20"/>
            </w:rPr>
            <w:tab/>
            <w:t xml:space="preserve">F. Irwan, R. Zulfitri, and Jumaini, “Hubungan Persepsi Lansia Tentang Kematian Dengan Kecemasan Dalam Menghadapi Kematian,” </w:t>
          </w:r>
          <w:r w:rsidRPr="001331F3">
            <w:rPr>
              <w:iCs/>
              <w:sz w:val="20"/>
              <w:szCs w:val="20"/>
            </w:rPr>
            <w:t xml:space="preserve">JUKEJ: Jurnal Kesehatan Jompa </w:t>
          </w:r>
          <w:r w:rsidRPr="001331F3">
            <w:rPr>
              <w:sz w:val="20"/>
              <w:szCs w:val="20"/>
            </w:rPr>
            <w:t>, vol. 1, no. 1, pp. 42–50, 2022, [Online]. Available: https://jurnal.jomparnd.com/index.php/jkj</w:t>
          </w:r>
        </w:p>
        <w:p w:rsidR="001331F3" w:rsidRPr="001331F3" w:rsidRDefault="001331F3" w:rsidP="001331F3">
          <w:pPr>
            <w:pStyle w:val="JSKReferenceItem"/>
            <w:ind w:left="720" w:hanging="720"/>
            <w:rPr>
              <w:sz w:val="20"/>
              <w:szCs w:val="20"/>
            </w:rPr>
          </w:pPr>
          <w:r w:rsidRPr="001331F3">
            <w:rPr>
              <w:sz w:val="20"/>
              <w:szCs w:val="20"/>
            </w:rPr>
            <w:lastRenderedPageBreak/>
            <w:t>[14]</w:t>
          </w:r>
          <w:r w:rsidRPr="001331F3">
            <w:rPr>
              <w:sz w:val="20"/>
              <w:szCs w:val="20"/>
            </w:rPr>
            <w:tab/>
            <w:t>Yulianto, “Hubungan Ketaatan Beribadah dengan Kecemasan Menghadapi Kematian pada Lansia Di Desa Haduyang Kecamatan Natar Kabupaten Lampung Selatan,” Skripsi, Universitas Islam Negeri Raden Intan, Lampung, 2021.</w:t>
          </w:r>
        </w:p>
        <w:p w:rsidR="001331F3" w:rsidRPr="001331F3" w:rsidRDefault="001331F3" w:rsidP="001331F3">
          <w:pPr>
            <w:pStyle w:val="JSKReferenceItem"/>
            <w:ind w:left="720" w:hanging="720"/>
            <w:rPr>
              <w:sz w:val="20"/>
              <w:szCs w:val="20"/>
            </w:rPr>
          </w:pPr>
          <w:r w:rsidRPr="001331F3">
            <w:rPr>
              <w:sz w:val="20"/>
              <w:szCs w:val="20"/>
            </w:rPr>
            <w:t>[15]</w:t>
          </w:r>
          <w:r w:rsidRPr="001331F3">
            <w:rPr>
              <w:sz w:val="20"/>
              <w:szCs w:val="20"/>
            </w:rPr>
            <w:tab/>
            <w:t xml:space="preserve">W. Sri Ardias and P. Intan Purwari, “Kecemasan pada Dewasa Tua (Lansia) dalam Menghadapi Kematian,” </w:t>
          </w:r>
          <w:r w:rsidRPr="001331F3">
            <w:rPr>
              <w:iCs/>
              <w:sz w:val="20"/>
              <w:szCs w:val="20"/>
            </w:rPr>
            <w:t xml:space="preserve">Ejournal.uinib.ac.id </w:t>
          </w:r>
          <w:r w:rsidRPr="001331F3">
            <w:rPr>
              <w:sz w:val="20"/>
              <w:szCs w:val="20"/>
            </w:rPr>
            <w:t>, vol. 22, no. 1, pp. 60–71, 2019, [Online]. Available: www.komnaslansia.or.id/modules</w:t>
          </w:r>
        </w:p>
        <w:p w:rsidR="001331F3" w:rsidRPr="001331F3" w:rsidRDefault="001331F3" w:rsidP="001331F3">
          <w:pPr>
            <w:pStyle w:val="JSKReferenceItem"/>
            <w:ind w:left="720" w:hanging="720"/>
            <w:rPr>
              <w:sz w:val="20"/>
              <w:szCs w:val="20"/>
            </w:rPr>
          </w:pPr>
          <w:r w:rsidRPr="001331F3">
            <w:rPr>
              <w:sz w:val="20"/>
              <w:szCs w:val="20"/>
            </w:rPr>
            <w:t>[16]</w:t>
          </w:r>
          <w:r w:rsidRPr="001331F3">
            <w:rPr>
              <w:sz w:val="20"/>
              <w:szCs w:val="20"/>
            </w:rPr>
            <w:tab/>
            <w:t xml:space="preserve">F. L. Maghfiroh, </w:t>
          </w:r>
          <w:r w:rsidRPr="001331F3">
            <w:rPr>
              <w:iCs/>
              <w:sz w:val="20"/>
              <w:szCs w:val="20"/>
            </w:rPr>
            <w:t>Hubungan Religiusitas dengan Kecemasan terhadap Kematian pada Lansia</w:t>
          </w:r>
          <w:r w:rsidRPr="001331F3">
            <w:rPr>
              <w:sz w:val="20"/>
              <w:szCs w:val="20"/>
            </w:rPr>
            <w:t>, Skripsi. Mojokerto: STIKES Bina Sehat PPNI Mojokerto, 2021.</w:t>
          </w:r>
        </w:p>
        <w:p w:rsidR="001331F3" w:rsidRPr="001331F3" w:rsidRDefault="001331F3" w:rsidP="001331F3">
          <w:pPr>
            <w:pStyle w:val="JSKReferenceItem"/>
            <w:ind w:left="720" w:hanging="720"/>
            <w:rPr>
              <w:sz w:val="20"/>
              <w:szCs w:val="20"/>
            </w:rPr>
          </w:pPr>
          <w:r w:rsidRPr="001331F3">
            <w:rPr>
              <w:sz w:val="20"/>
              <w:szCs w:val="20"/>
            </w:rPr>
            <w:t>[17]</w:t>
          </w:r>
          <w:r w:rsidRPr="001331F3">
            <w:rPr>
              <w:sz w:val="20"/>
              <w:szCs w:val="20"/>
            </w:rPr>
            <w:tab/>
            <w:t xml:space="preserve">Suroso, </w:t>
          </w:r>
          <w:r w:rsidRPr="001331F3">
            <w:rPr>
              <w:iCs/>
              <w:sz w:val="20"/>
              <w:szCs w:val="20"/>
            </w:rPr>
            <w:t>Psikologi Islami</w:t>
          </w:r>
          <w:r w:rsidRPr="001331F3">
            <w:rPr>
              <w:sz w:val="20"/>
              <w:szCs w:val="20"/>
            </w:rPr>
            <w:t>. Jakarta: Pustaka Belajar, 2011.</w:t>
          </w:r>
        </w:p>
        <w:p w:rsidR="001331F3" w:rsidRPr="001331F3" w:rsidRDefault="001331F3" w:rsidP="001331F3">
          <w:pPr>
            <w:pStyle w:val="JSKReferenceItem"/>
            <w:ind w:left="720" w:hanging="720"/>
            <w:rPr>
              <w:sz w:val="20"/>
              <w:szCs w:val="20"/>
            </w:rPr>
          </w:pPr>
          <w:r w:rsidRPr="001331F3">
            <w:rPr>
              <w:sz w:val="20"/>
              <w:szCs w:val="20"/>
            </w:rPr>
            <w:t>[18]</w:t>
          </w:r>
          <w:r w:rsidRPr="001331F3">
            <w:rPr>
              <w:sz w:val="20"/>
              <w:szCs w:val="20"/>
            </w:rPr>
            <w:tab/>
            <w:t>M. Mellawati, “Hubungan Antara Religiusitas Dengan Kecemasan Dalam Menghadapi Kematian Pada Lansia,” Thesis, Universitas Islam Riau, Riau, 2019.</w:t>
          </w:r>
        </w:p>
        <w:p w:rsidR="001331F3" w:rsidRPr="001331F3" w:rsidRDefault="001331F3" w:rsidP="001331F3">
          <w:pPr>
            <w:pStyle w:val="JSKReferenceItem"/>
            <w:ind w:left="720" w:hanging="720"/>
            <w:rPr>
              <w:sz w:val="20"/>
              <w:szCs w:val="20"/>
            </w:rPr>
          </w:pPr>
          <w:r w:rsidRPr="001331F3">
            <w:rPr>
              <w:sz w:val="20"/>
              <w:szCs w:val="20"/>
            </w:rPr>
            <w:t>[19]</w:t>
          </w:r>
          <w:r w:rsidRPr="001331F3">
            <w:rPr>
              <w:sz w:val="20"/>
              <w:szCs w:val="20"/>
            </w:rPr>
            <w:tab/>
            <w:t xml:space="preserve">A. Pamungkas, S. Wiyanti, and R. Widya Agustin, “Hubungan antara Religiusitas dan Dukungan Sosial dengan Kecemasan Menghadapi Tutup Usia pada Lanjut Usia Kelurahan Jebres Surakarta Correlation between Religiosity and social Support with Death Anxiety of Elderly in Jebres Village,” </w:t>
          </w:r>
          <w:r w:rsidRPr="001331F3">
            <w:rPr>
              <w:iCs/>
              <w:sz w:val="20"/>
              <w:szCs w:val="20"/>
            </w:rPr>
            <w:t>Jurnal Ilmiah Psikologi Candrajiwa</w:t>
          </w:r>
          <w:r w:rsidRPr="001331F3">
            <w:rPr>
              <w:sz w:val="20"/>
              <w:szCs w:val="20"/>
            </w:rPr>
            <w:t>, vol. 2, no. 1, pp. 1–10, 2013.</w:t>
          </w:r>
        </w:p>
        <w:p w:rsidR="001331F3" w:rsidRPr="001331F3" w:rsidRDefault="001331F3" w:rsidP="001331F3">
          <w:pPr>
            <w:pStyle w:val="JSKReferenceItem"/>
            <w:ind w:left="720" w:hanging="720"/>
            <w:rPr>
              <w:sz w:val="20"/>
              <w:szCs w:val="20"/>
            </w:rPr>
          </w:pPr>
          <w:r w:rsidRPr="001331F3">
            <w:rPr>
              <w:sz w:val="20"/>
              <w:szCs w:val="20"/>
            </w:rPr>
            <w:t>[20]</w:t>
          </w:r>
          <w:r w:rsidRPr="001331F3">
            <w:rPr>
              <w:sz w:val="20"/>
              <w:szCs w:val="20"/>
            </w:rPr>
            <w:tab/>
            <w:t xml:space="preserve">P. S. P. Putra and L. K. P. Susilawati, “Hubungan antara Dukungan Sosial dan Self Efficacy dengan Tingkat Stress pada Perawat di Rumah Sakit Umum Pusat Sanglah,” </w:t>
          </w:r>
          <w:r w:rsidRPr="001331F3">
            <w:rPr>
              <w:iCs/>
              <w:sz w:val="20"/>
              <w:szCs w:val="20"/>
            </w:rPr>
            <w:t>Jurnal Harian Regional</w:t>
          </w:r>
          <w:r w:rsidRPr="001331F3">
            <w:rPr>
              <w:sz w:val="20"/>
              <w:szCs w:val="20"/>
            </w:rPr>
            <w:t>, vol. 5, no. 1, pp. 145–157, 2018.</w:t>
          </w:r>
        </w:p>
        <w:p w:rsidR="001331F3" w:rsidRPr="001331F3" w:rsidRDefault="001331F3" w:rsidP="001331F3">
          <w:pPr>
            <w:pStyle w:val="JSKReferenceItem"/>
            <w:ind w:left="720" w:hanging="720"/>
            <w:rPr>
              <w:sz w:val="20"/>
              <w:szCs w:val="20"/>
            </w:rPr>
          </w:pPr>
          <w:r w:rsidRPr="001331F3">
            <w:rPr>
              <w:sz w:val="20"/>
              <w:szCs w:val="20"/>
            </w:rPr>
            <w:t>[21]</w:t>
          </w:r>
          <w:r w:rsidRPr="001331F3">
            <w:rPr>
              <w:sz w:val="20"/>
              <w:szCs w:val="20"/>
            </w:rPr>
            <w:tab/>
            <w:t xml:space="preserve">I. Rifati, A. F. Abdi, A. Arumsari, and N. Fajriani, “Konsep Dukungan Sosial,” </w:t>
          </w:r>
          <w:r w:rsidRPr="001331F3">
            <w:rPr>
              <w:iCs/>
              <w:sz w:val="20"/>
              <w:szCs w:val="20"/>
            </w:rPr>
            <w:t>Academia</w:t>
          </w:r>
          <w:r w:rsidRPr="001331F3">
            <w:rPr>
              <w:sz w:val="20"/>
              <w:szCs w:val="20"/>
            </w:rPr>
            <w:t>, vol. 1, no. 1, pp. 1–9, 2018.</w:t>
          </w:r>
        </w:p>
        <w:p w:rsidR="001331F3" w:rsidRPr="001331F3" w:rsidRDefault="001331F3" w:rsidP="001331F3">
          <w:pPr>
            <w:pStyle w:val="JSKReferenceItem"/>
            <w:ind w:left="720" w:hanging="720"/>
            <w:rPr>
              <w:sz w:val="20"/>
              <w:szCs w:val="20"/>
            </w:rPr>
          </w:pPr>
          <w:r w:rsidRPr="001331F3">
            <w:rPr>
              <w:sz w:val="20"/>
              <w:szCs w:val="20"/>
            </w:rPr>
            <w:t>[22]</w:t>
          </w:r>
          <w:r w:rsidRPr="001331F3">
            <w:rPr>
              <w:sz w:val="20"/>
              <w:szCs w:val="20"/>
            </w:rPr>
            <w:tab/>
            <w:t xml:space="preserve">J. Purba, A. Yulianto, and E. Widyanti, “Pengaruh Dukungan Sosial terhadap Burnout pada Guru,” </w:t>
          </w:r>
          <w:r w:rsidRPr="001331F3">
            <w:rPr>
              <w:iCs/>
              <w:sz w:val="20"/>
              <w:szCs w:val="20"/>
            </w:rPr>
            <w:t>Jurnal Psikologi</w:t>
          </w:r>
          <w:r w:rsidRPr="001331F3">
            <w:rPr>
              <w:sz w:val="20"/>
              <w:szCs w:val="20"/>
            </w:rPr>
            <w:t>, vol. 5, no. 1, pp. 77–88, 2007.</w:t>
          </w:r>
        </w:p>
        <w:p w:rsidR="001331F3" w:rsidRPr="001331F3" w:rsidRDefault="001331F3" w:rsidP="001331F3">
          <w:pPr>
            <w:pStyle w:val="JSKReferenceItem"/>
            <w:ind w:left="720" w:hanging="720"/>
            <w:rPr>
              <w:sz w:val="20"/>
              <w:szCs w:val="20"/>
            </w:rPr>
          </w:pPr>
          <w:r w:rsidRPr="001331F3">
            <w:rPr>
              <w:sz w:val="20"/>
              <w:szCs w:val="20"/>
            </w:rPr>
            <w:t>[23]</w:t>
          </w:r>
          <w:r w:rsidRPr="001331F3">
            <w:rPr>
              <w:sz w:val="20"/>
              <w:szCs w:val="20"/>
            </w:rPr>
            <w:tab/>
            <w:t xml:space="preserve">M. Dianto, “Profil DukunganSosial Orang Tua Siswa di SMP Negeri Kecamatan Batang Kapas Pesisir Selatan,” </w:t>
          </w:r>
          <w:r w:rsidRPr="001331F3">
            <w:rPr>
              <w:iCs/>
              <w:sz w:val="20"/>
              <w:szCs w:val="20"/>
            </w:rPr>
            <w:t>Jurnal Counseling Care</w:t>
          </w:r>
          <w:r w:rsidRPr="001331F3">
            <w:rPr>
              <w:sz w:val="20"/>
              <w:szCs w:val="20"/>
            </w:rPr>
            <w:t>, vol. 1, no. 1, pp. 42–53, 2017.</w:t>
          </w:r>
        </w:p>
        <w:p w:rsidR="001331F3" w:rsidRPr="001331F3" w:rsidRDefault="001331F3" w:rsidP="001331F3">
          <w:pPr>
            <w:pStyle w:val="JSKReferenceItem"/>
            <w:ind w:left="720" w:hanging="720"/>
            <w:rPr>
              <w:sz w:val="20"/>
              <w:szCs w:val="20"/>
            </w:rPr>
          </w:pPr>
          <w:r w:rsidRPr="001331F3">
            <w:rPr>
              <w:sz w:val="20"/>
              <w:szCs w:val="20"/>
            </w:rPr>
            <w:t>[24]</w:t>
          </w:r>
          <w:r w:rsidRPr="001331F3">
            <w:rPr>
              <w:sz w:val="20"/>
              <w:szCs w:val="20"/>
            </w:rPr>
            <w:tab/>
            <w:t xml:space="preserve">Y. Novita, U. Romayati, W. T. Wahyudi, and M. R. Zainaro, “Hubungan Dukungan Keluarga dengan Kecemasan pada Lansia Di Desa Bandar Jaya Wilayah Kerja Puskesmas Bandar Jaua Lampung Tengah,” </w:t>
          </w:r>
          <w:r w:rsidRPr="001331F3">
            <w:rPr>
              <w:iCs/>
              <w:sz w:val="20"/>
              <w:szCs w:val="20"/>
            </w:rPr>
            <w:t>Jurnal Kesehatan Houlistik</w:t>
          </w:r>
          <w:r w:rsidRPr="001331F3">
            <w:rPr>
              <w:sz w:val="20"/>
              <w:szCs w:val="20"/>
            </w:rPr>
            <w:t>, vol. 8, no. 2, pp. 64–70, 2014.</w:t>
          </w:r>
        </w:p>
        <w:p w:rsidR="001331F3" w:rsidRPr="001331F3" w:rsidRDefault="001331F3" w:rsidP="001331F3">
          <w:pPr>
            <w:pStyle w:val="JSKReferenceItem"/>
            <w:ind w:left="720" w:hanging="720"/>
            <w:rPr>
              <w:sz w:val="20"/>
              <w:szCs w:val="20"/>
            </w:rPr>
          </w:pPr>
          <w:r w:rsidRPr="001331F3">
            <w:rPr>
              <w:sz w:val="20"/>
              <w:szCs w:val="20"/>
            </w:rPr>
            <w:t>[25]</w:t>
          </w:r>
          <w:r w:rsidRPr="001331F3">
            <w:rPr>
              <w:sz w:val="20"/>
              <w:szCs w:val="20"/>
            </w:rPr>
            <w:tab/>
            <w:t xml:space="preserve">D. W. Andhita, </w:t>
          </w:r>
          <w:r w:rsidRPr="001331F3">
            <w:rPr>
              <w:iCs/>
              <w:sz w:val="20"/>
              <w:szCs w:val="20"/>
            </w:rPr>
            <w:t>Aplikasi Statistika Parametrik dalam Penelitian</w:t>
          </w:r>
          <w:r w:rsidRPr="001331F3">
            <w:rPr>
              <w:sz w:val="20"/>
              <w:szCs w:val="20"/>
            </w:rPr>
            <w:t>. Yogyakarta: Erlangga, 2016.</w:t>
          </w:r>
        </w:p>
        <w:p w:rsidR="001331F3" w:rsidRPr="001331F3" w:rsidRDefault="001331F3" w:rsidP="001331F3">
          <w:pPr>
            <w:pStyle w:val="JSKReferenceItem"/>
            <w:ind w:left="720" w:hanging="720"/>
            <w:rPr>
              <w:sz w:val="20"/>
              <w:szCs w:val="20"/>
            </w:rPr>
          </w:pPr>
          <w:r w:rsidRPr="001331F3">
            <w:rPr>
              <w:sz w:val="20"/>
              <w:szCs w:val="20"/>
            </w:rPr>
            <w:t>[26]</w:t>
          </w:r>
          <w:r w:rsidRPr="001331F3">
            <w:rPr>
              <w:sz w:val="20"/>
              <w:szCs w:val="20"/>
            </w:rPr>
            <w:tab/>
            <w:t>R. Z. Hanim, “Hubuhngan Religiusitas dengan Perilaku Perawatan Diri pada Oasien Diabetes Melitus Tipe 2 di WIlayah Kerja Jenggawah Kabupaten Jember,” Skripsi, Universitas Jember, Jember, 2018.</w:t>
          </w:r>
        </w:p>
        <w:p w:rsidR="001331F3" w:rsidRPr="001331F3" w:rsidRDefault="001331F3" w:rsidP="001331F3">
          <w:pPr>
            <w:pStyle w:val="JSKReferenceItem"/>
            <w:ind w:left="720" w:hanging="720"/>
            <w:rPr>
              <w:sz w:val="20"/>
              <w:szCs w:val="20"/>
            </w:rPr>
          </w:pPr>
          <w:r w:rsidRPr="001331F3">
            <w:rPr>
              <w:sz w:val="20"/>
              <w:szCs w:val="20"/>
            </w:rPr>
            <w:t>[27]</w:t>
          </w:r>
          <w:r w:rsidRPr="001331F3">
            <w:rPr>
              <w:sz w:val="20"/>
              <w:szCs w:val="20"/>
            </w:rPr>
            <w:tab/>
            <w:t>A. Hadi, “Pengaruh Dukungan Sosial dan Modal Psikologis terhadap Kesejahteraan Subjektif Pegawai Bank X,” Skripsi, Universitas Islam Negeri Syarif Hidayatullah, Jakarta, 2018.</w:t>
          </w:r>
        </w:p>
        <w:p w:rsidR="001331F3" w:rsidRPr="001331F3" w:rsidRDefault="001331F3" w:rsidP="001331F3">
          <w:pPr>
            <w:pStyle w:val="JSKReferenceItem"/>
            <w:ind w:left="720" w:hanging="720"/>
            <w:rPr>
              <w:sz w:val="20"/>
              <w:szCs w:val="20"/>
            </w:rPr>
          </w:pPr>
          <w:r w:rsidRPr="001331F3">
            <w:rPr>
              <w:sz w:val="20"/>
              <w:szCs w:val="20"/>
            </w:rPr>
            <w:t>[28]</w:t>
          </w:r>
          <w:r w:rsidRPr="001331F3">
            <w:rPr>
              <w:sz w:val="20"/>
              <w:szCs w:val="20"/>
            </w:rPr>
            <w:tab/>
            <w:t xml:space="preserve">D. P. Suwarsito and E. Z. Astuti, “Analisa Regresi dan Korelasi antara Pengunjung dan Pembeli terhadap Nominal Pembelian di Indomarte Kedungmundu Semarang dengan Metode Kuadrat Terkecil,” </w:t>
          </w:r>
          <w:r w:rsidRPr="001331F3">
            <w:rPr>
              <w:iCs/>
              <w:sz w:val="20"/>
              <w:szCs w:val="20"/>
            </w:rPr>
            <w:t>Psikometrika</w:t>
          </w:r>
          <w:r w:rsidRPr="001331F3">
            <w:rPr>
              <w:sz w:val="20"/>
              <w:szCs w:val="20"/>
            </w:rPr>
            <w:t>, vol. 1, no. 2, pp. 1–12, 2021.</w:t>
          </w:r>
        </w:p>
        <w:p w:rsidR="001331F3" w:rsidRPr="001331F3" w:rsidRDefault="001331F3" w:rsidP="001331F3">
          <w:pPr>
            <w:pStyle w:val="JSKReferenceItem"/>
            <w:ind w:left="720" w:hanging="720"/>
            <w:rPr>
              <w:sz w:val="20"/>
              <w:szCs w:val="20"/>
            </w:rPr>
          </w:pPr>
          <w:r w:rsidRPr="001331F3">
            <w:rPr>
              <w:sz w:val="20"/>
              <w:szCs w:val="20"/>
            </w:rPr>
            <w:t>[29]</w:t>
          </w:r>
          <w:r w:rsidRPr="001331F3">
            <w:rPr>
              <w:sz w:val="20"/>
              <w:szCs w:val="20"/>
            </w:rPr>
            <w:tab/>
            <w:t xml:space="preserve">K. B. Grill, J. Wang, and M. E. Lyon, “The role of religiousness and spirituality in health-related quality of life of persons living with HIV: A latent class analysis,” </w:t>
          </w:r>
          <w:r w:rsidRPr="001331F3">
            <w:rPr>
              <w:iCs/>
              <w:sz w:val="20"/>
              <w:szCs w:val="20"/>
            </w:rPr>
            <w:t>Psycholog Relig Spiritual</w:t>
          </w:r>
          <w:r w:rsidRPr="001331F3">
            <w:rPr>
              <w:sz w:val="20"/>
              <w:szCs w:val="20"/>
            </w:rPr>
            <w:t>, vol. 12, no. 4, pp. 494–504, 2020.</w:t>
          </w:r>
        </w:p>
        <w:p w:rsidR="001331F3" w:rsidRPr="001331F3" w:rsidRDefault="001331F3" w:rsidP="001331F3">
          <w:pPr>
            <w:pStyle w:val="JSKReferenceItem"/>
            <w:ind w:left="720" w:hanging="720"/>
            <w:rPr>
              <w:sz w:val="20"/>
              <w:szCs w:val="20"/>
            </w:rPr>
          </w:pPr>
          <w:r w:rsidRPr="001331F3">
            <w:rPr>
              <w:sz w:val="20"/>
              <w:szCs w:val="20"/>
            </w:rPr>
            <w:t>[30]</w:t>
          </w:r>
          <w:r w:rsidRPr="001331F3">
            <w:rPr>
              <w:sz w:val="20"/>
              <w:szCs w:val="20"/>
            </w:rPr>
            <w:tab/>
            <w:t xml:space="preserve">C. Loibl, D. R. Haurin, J. K. Brown, and S. Moulton, “The relationship between reverse mortgage borrowing, domain and life satisfaction,” </w:t>
          </w:r>
          <w:r w:rsidRPr="001331F3">
            <w:rPr>
              <w:iCs/>
              <w:sz w:val="20"/>
              <w:szCs w:val="20"/>
            </w:rPr>
            <w:t>Journals of Gerontology - Series B Psychological Sciences and Social Sciences</w:t>
          </w:r>
          <w:r w:rsidRPr="001331F3">
            <w:rPr>
              <w:sz w:val="20"/>
              <w:szCs w:val="20"/>
            </w:rPr>
            <w:t>, vol. 75, no. 4, pp. 869–878, Mar. 2020, doi: 10.1093/geronb/gby096.</w:t>
          </w:r>
        </w:p>
        <w:p w:rsidR="001331F3" w:rsidRPr="001331F3" w:rsidRDefault="001331F3" w:rsidP="001331F3">
          <w:pPr>
            <w:pStyle w:val="JSKReferenceItem"/>
            <w:ind w:left="720" w:hanging="720"/>
            <w:rPr>
              <w:sz w:val="20"/>
              <w:szCs w:val="20"/>
            </w:rPr>
          </w:pPr>
          <w:r w:rsidRPr="001331F3">
            <w:rPr>
              <w:sz w:val="20"/>
              <w:szCs w:val="20"/>
            </w:rPr>
            <w:t>[31]</w:t>
          </w:r>
          <w:r w:rsidRPr="001331F3">
            <w:rPr>
              <w:sz w:val="20"/>
              <w:szCs w:val="20"/>
            </w:rPr>
            <w:tab/>
            <w:t xml:space="preserve">I. Koper, H. R. W. Pasman, B. P. M. Schweitzer, A. Kuin, and B. D. Onwuteaka-Philipsen, “Spiritual care at the end of life in the primary care setting: Experiences from spiritual caregivers-A mixed methods study,” </w:t>
          </w:r>
          <w:r w:rsidRPr="001331F3">
            <w:rPr>
              <w:iCs/>
              <w:sz w:val="20"/>
              <w:szCs w:val="20"/>
            </w:rPr>
            <w:t>BMC Palliat Care</w:t>
          </w:r>
          <w:r w:rsidRPr="001331F3">
            <w:rPr>
              <w:sz w:val="20"/>
              <w:szCs w:val="20"/>
            </w:rPr>
            <w:t>, vol. 18, no. 1, Nov. 2019, doi: 10.1186/s12904-019-0484-8.</w:t>
          </w:r>
        </w:p>
        <w:p w:rsidR="001331F3" w:rsidRPr="001331F3" w:rsidRDefault="001331F3" w:rsidP="001331F3">
          <w:pPr>
            <w:pStyle w:val="JSKReferenceItem"/>
            <w:ind w:left="720" w:hanging="720"/>
            <w:rPr>
              <w:sz w:val="20"/>
              <w:szCs w:val="20"/>
            </w:rPr>
          </w:pPr>
          <w:r w:rsidRPr="001331F3">
            <w:rPr>
              <w:sz w:val="20"/>
              <w:szCs w:val="20"/>
            </w:rPr>
            <w:t>[32]</w:t>
          </w:r>
          <w:r w:rsidRPr="001331F3">
            <w:rPr>
              <w:sz w:val="20"/>
              <w:szCs w:val="20"/>
            </w:rPr>
            <w:tab/>
            <w:t xml:space="preserve">P. Pentaris and K. Tripathi, “Palliative Professionals’ Views on the Importance of Religion, Belief, and Spiritual Identities toward the End of Life,” </w:t>
          </w:r>
          <w:r w:rsidRPr="001331F3">
            <w:rPr>
              <w:iCs/>
              <w:sz w:val="20"/>
              <w:szCs w:val="20"/>
            </w:rPr>
            <w:t>Int J Environ Res Public Health</w:t>
          </w:r>
          <w:r w:rsidRPr="001331F3">
            <w:rPr>
              <w:sz w:val="20"/>
              <w:szCs w:val="20"/>
            </w:rPr>
            <w:t>, vol. 19, no. 10, May 2022, doi: 10.3390/ijerph19106031.</w:t>
          </w:r>
        </w:p>
        <w:p w:rsidR="001331F3" w:rsidRPr="001331F3" w:rsidRDefault="001331F3" w:rsidP="001331F3">
          <w:pPr>
            <w:pStyle w:val="JSKReferenceItem"/>
            <w:ind w:left="720" w:hanging="720"/>
            <w:rPr>
              <w:sz w:val="20"/>
              <w:szCs w:val="20"/>
            </w:rPr>
          </w:pPr>
          <w:r w:rsidRPr="001331F3">
            <w:rPr>
              <w:sz w:val="20"/>
              <w:szCs w:val="20"/>
            </w:rPr>
            <w:t>[33]</w:t>
          </w:r>
          <w:r w:rsidRPr="001331F3">
            <w:rPr>
              <w:sz w:val="20"/>
              <w:szCs w:val="20"/>
            </w:rPr>
            <w:tab/>
            <w:t xml:space="preserve">B. V. Mendes, S. C. T. Donato, T. L. da Silva, R. M. Penha, P. Jaman-Mewes, and M. de G. Salvetti, “Spiritual well-being, symptoms and performance of patients under palliative care,” </w:t>
          </w:r>
          <w:r w:rsidRPr="001331F3">
            <w:rPr>
              <w:iCs/>
              <w:sz w:val="20"/>
              <w:szCs w:val="20"/>
            </w:rPr>
            <w:t>Rev Bras Enferm</w:t>
          </w:r>
          <w:r w:rsidRPr="001331F3">
            <w:rPr>
              <w:sz w:val="20"/>
              <w:szCs w:val="20"/>
            </w:rPr>
            <w:t>, vol. 76, no. 2, 2023, doi: 10.1590/0034-7167-2022-0007.</w:t>
          </w:r>
        </w:p>
        <w:p w:rsidR="001331F3" w:rsidRPr="001331F3" w:rsidRDefault="001331F3" w:rsidP="001331F3">
          <w:pPr>
            <w:pStyle w:val="JSKReferenceItem"/>
            <w:ind w:left="720" w:hanging="720"/>
            <w:rPr>
              <w:sz w:val="20"/>
              <w:szCs w:val="20"/>
            </w:rPr>
          </w:pPr>
          <w:r w:rsidRPr="001331F3">
            <w:rPr>
              <w:sz w:val="20"/>
              <w:szCs w:val="20"/>
            </w:rPr>
            <w:t>[34]</w:t>
          </w:r>
          <w:r w:rsidRPr="001331F3">
            <w:rPr>
              <w:sz w:val="20"/>
              <w:szCs w:val="20"/>
            </w:rPr>
            <w:tab/>
            <w:t xml:space="preserve">E. F. Acoba, “Social support and mental health: the mediating role of perceived stress,” </w:t>
          </w:r>
          <w:r w:rsidRPr="001331F3">
            <w:rPr>
              <w:iCs/>
              <w:sz w:val="20"/>
              <w:szCs w:val="20"/>
            </w:rPr>
            <w:t>Front Psychol</w:t>
          </w:r>
          <w:r w:rsidRPr="001331F3">
            <w:rPr>
              <w:sz w:val="20"/>
              <w:szCs w:val="20"/>
            </w:rPr>
            <w:t>, vol. 15, 2024, doi: 10.3389/fpsyg.2024.1330720.</w:t>
          </w:r>
        </w:p>
        <w:p w:rsidR="001331F3" w:rsidRPr="001331F3" w:rsidRDefault="001331F3" w:rsidP="001331F3">
          <w:pPr>
            <w:pStyle w:val="JSKReferenceItem"/>
            <w:ind w:left="720" w:hanging="720"/>
            <w:rPr>
              <w:sz w:val="20"/>
              <w:szCs w:val="20"/>
            </w:rPr>
          </w:pPr>
          <w:r w:rsidRPr="001331F3">
            <w:rPr>
              <w:sz w:val="20"/>
              <w:szCs w:val="20"/>
            </w:rPr>
            <w:t>[35]</w:t>
          </w:r>
          <w:r w:rsidRPr="001331F3">
            <w:rPr>
              <w:sz w:val="20"/>
              <w:szCs w:val="20"/>
            </w:rPr>
            <w:tab/>
            <w:t xml:space="preserve">J. Vila, “Social Support and Longevity: Meta-Analysis-Based Evidence and Psychobiological Mechanisms,” Sep. 13, 2021, </w:t>
          </w:r>
          <w:r w:rsidRPr="001331F3">
            <w:rPr>
              <w:iCs/>
              <w:sz w:val="20"/>
              <w:szCs w:val="20"/>
            </w:rPr>
            <w:t>Frontiers Media S.A.</w:t>
          </w:r>
          <w:r w:rsidRPr="001331F3">
            <w:rPr>
              <w:sz w:val="20"/>
              <w:szCs w:val="20"/>
            </w:rPr>
            <w:t xml:space="preserve"> doi: 10.3389/fpsyg.2021.717164.</w:t>
          </w:r>
        </w:p>
        <w:p w:rsidR="001331F3" w:rsidRPr="001331F3" w:rsidRDefault="001331F3" w:rsidP="001331F3">
          <w:pPr>
            <w:pStyle w:val="JSKReferenceItem"/>
            <w:ind w:left="720" w:hanging="720"/>
            <w:rPr>
              <w:sz w:val="20"/>
              <w:szCs w:val="20"/>
            </w:rPr>
          </w:pPr>
          <w:r w:rsidRPr="001331F3">
            <w:rPr>
              <w:sz w:val="20"/>
              <w:szCs w:val="20"/>
            </w:rPr>
            <w:t>[36]</w:t>
          </w:r>
          <w:r w:rsidRPr="001331F3">
            <w:rPr>
              <w:sz w:val="20"/>
              <w:szCs w:val="20"/>
            </w:rPr>
            <w:tab/>
            <w:t>R. C. Ho and R. Cheng, “The impact of relationship quality and social support on social media users’ selling intention,” 2020.</w:t>
          </w:r>
        </w:p>
        <w:p w:rsidR="001331F3" w:rsidRPr="001331F3" w:rsidRDefault="001331F3" w:rsidP="001331F3">
          <w:pPr>
            <w:pStyle w:val="JSKReferenceItem"/>
            <w:ind w:left="720" w:hanging="720"/>
            <w:rPr>
              <w:sz w:val="20"/>
              <w:szCs w:val="20"/>
            </w:rPr>
          </w:pPr>
          <w:r w:rsidRPr="001331F3">
            <w:rPr>
              <w:sz w:val="20"/>
              <w:szCs w:val="20"/>
            </w:rPr>
            <w:lastRenderedPageBreak/>
            <w:t>[37]</w:t>
          </w:r>
          <w:r w:rsidRPr="001331F3">
            <w:rPr>
              <w:sz w:val="20"/>
              <w:szCs w:val="20"/>
            </w:rPr>
            <w:tab/>
            <w:t xml:space="preserve">J. Li and Y. Wang, “he Impact of Chronic Diseases on the Psychological Well-being of Older Adults,” </w:t>
          </w:r>
          <w:r w:rsidRPr="001331F3">
            <w:rPr>
              <w:iCs/>
              <w:sz w:val="20"/>
              <w:szCs w:val="20"/>
            </w:rPr>
            <w:t>J Aging Health</w:t>
          </w:r>
          <w:r w:rsidRPr="001331F3">
            <w:rPr>
              <w:sz w:val="20"/>
              <w:szCs w:val="20"/>
            </w:rPr>
            <w:t>, vol. 33, no. 2, pp. 120–132, 2021.</w:t>
          </w:r>
        </w:p>
        <w:p w:rsidR="001331F3" w:rsidRPr="001331F3" w:rsidRDefault="001331F3" w:rsidP="001331F3">
          <w:pPr>
            <w:pStyle w:val="JSKReferenceItem"/>
            <w:ind w:left="720" w:hanging="720"/>
            <w:rPr>
              <w:sz w:val="20"/>
              <w:szCs w:val="20"/>
            </w:rPr>
          </w:pPr>
          <w:r w:rsidRPr="001331F3">
            <w:rPr>
              <w:sz w:val="20"/>
              <w:szCs w:val="20"/>
            </w:rPr>
            <w:t>[38]</w:t>
          </w:r>
          <w:r w:rsidRPr="001331F3">
            <w:rPr>
              <w:sz w:val="20"/>
              <w:szCs w:val="20"/>
            </w:rPr>
            <w:tab/>
            <w:t xml:space="preserve">H. Shin and C. Park, “Social support and psychological well-being in younger and older adults: The mediating effects of basic psychological need satisfaction,” </w:t>
          </w:r>
          <w:r w:rsidRPr="001331F3">
            <w:rPr>
              <w:iCs/>
              <w:sz w:val="20"/>
              <w:szCs w:val="20"/>
            </w:rPr>
            <w:t>Front Psychol</w:t>
          </w:r>
          <w:r w:rsidRPr="001331F3">
            <w:rPr>
              <w:sz w:val="20"/>
              <w:szCs w:val="20"/>
            </w:rPr>
            <w:t>, vol. 13, Nov. 2022, doi: 10.3389/fpsyg.2022.1051968.</w:t>
          </w:r>
        </w:p>
        <w:p w:rsidR="001331F3" w:rsidRPr="001331F3" w:rsidRDefault="001331F3" w:rsidP="001331F3">
          <w:pPr>
            <w:pStyle w:val="JSKReferenceItem"/>
            <w:ind w:left="720" w:hanging="720"/>
            <w:rPr>
              <w:sz w:val="20"/>
              <w:szCs w:val="20"/>
            </w:rPr>
          </w:pPr>
          <w:r w:rsidRPr="001331F3">
            <w:rPr>
              <w:sz w:val="20"/>
              <w:szCs w:val="20"/>
            </w:rPr>
            <w:t>[39]</w:t>
          </w:r>
          <w:r w:rsidRPr="001331F3">
            <w:rPr>
              <w:sz w:val="20"/>
              <w:szCs w:val="20"/>
            </w:rPr>
            <w:tab/>
            <w:t xml:space="preserve">S. Zheng </w:t>
          </w:r>
          <w:r w:rsidRPr="001331F3">
            <w:rPr>
              <w:iCs/>
              <w:sz w:val="20"/>
              <w:szCs w:val="20"/>
            </w:rPr>
            <w:t>et al.</w:t>
          </w:r>
          <w:r w:rsidRPr="001331F3">
            <w:rPr>
              <w:sz w:val="20"/>
              <w:szCs w:val="20"/>
            </w:rPr>
            <w:t xml:space="preserve">, “Cultural differences in social support seeking: The mediating role of empathic concern,” </w:t>
          </w:r>
          <w:r w:rsidRPr="001331F3">
            <w:rPr>
              <w:iCs/>
              <w:sz w:val="20"/>
              <w:szCs w:val="20"/>
            </w:rPr>
            <w:t>PLoS One</w:t>
          </w:r>
          <w:r w:rsidRPr="001331F3">
            <w:rPr>
              <w:sz w:val="20"/>
              <w:szCs w:val="20"/>
            </w:rPr>
            <w:t>, vol. 16, no. 12 December, Dec. 2021, doi: 10.1371/journal.pone.0262001.</w:t>
          </w:r>
        </w:p>
        <w:p w:rsidR="001331F3" w:rsidRPr="001331F3" w:rsidRDefault="001331F3" w:rsidP="001331F3">
          <w:pPr>
            <w:pStyle w:val="JSKReferenceItem"/>
            <w:ind w:left="720" w:hanging="720"/>
            <w:rPr>
              <w:sz w:val="20"/>
              <w:szCs w:val="20"/>
            </w:rPr>
          </w:pPr>
          <w:r w:rsidRPr="001331F3">
            <w:rPr>
              <w:sz w:val="20"/>
              <w:szCs w:val="20"/>
            </w:rPr>
            <w:t>[40]</w:t>
          </w:r>
          <w:r w:rsidRPr="001331F3">
            <w:rPr>
              <w:sz w:val="20"/>
              <w:szCs w:val="20"/>
            </w:rPr>
            <w:tab/>
            <w:t xml:space="preserve">L. Shao, M. Goli, A. A. Sewagegn, and A. K. Sahu, “Impact of Social Media Usage on Civic Engagement towards Societal Problems: Qualitative Modelling Approach,” </w:t>
          </w:r>
          <w:r w:rsidRPr="001331F3">
            <w:rPr>
              <w:iCs/>
              <w:sz w:val="20"/>
              <w:szCs w:val="20"/>
            </w:rPr>
            <w:t>Discrete Dyn Nat Soc</w:t>
          </w:r>
          <w:r w:rsidRPr="001331F3">
            <w:rPr>
              <w:sz w:val="20"/>
              <w:szCs w:val="20"/>
            </w:rPr>
            <w:t>, vol. 2022, 2022, doi: 10.1155/2022/1121215.</w:t>
          </w:r>
        </w:p>
        <w:p w:rsidR="001331F3" w:rsidRPr="001331F3" w:rsidRDefault="001331F3" w:rsidP="001331F3">
          <w:pPr>
            <w:pStyle w:val="JSKReferenceItem"/>
            <w:ind w:left="720" w:hanging="720"/>
            <w:rPr>
              <w:sz w:val="20"/>
              <w:szCs w:val="20"/>
            </w:rPr>
          </w:pPr>
          <w:r w:rsidRPr="001331F3">
            <w:rPr>
              <w:sz w:val="20"/>
              <w:szCs w:val="20"/>
            </w:rPr>
            <w:t>[41]</w:t>
          </w:r>
          <w:r w:rsidRPr="001331F3">
            <w:rPr>
              <w:sz w:val="20"/>
              <w:szCs w:val="20"/>
            </w:rPr>
            <w:tab/>
            <w:t xml:space="preserve">C. C. Igbokwe </w:t>
          </w:r>
          <w:r w:rsidRPr="001331F3">
            <w:rPr>
              <w:iCs/>
              <w:sz w:val="20"/>
              <w:szCs w:val="20"/>
            </w:rPr>
            <w:t>et al.</w:t>
          </w:r>
          <w:r w:rsidRPr="001331F3">
            <w:rPr>
              <w:sz w:val="20"/>
              <w:szCs w:val="20"/>
            </w:rPr>
            <w:t xml:space="preserve">, “Social Support, Health Behaviors, Self-Esteem, and Successful Aging in a Sub-Saharan African Sample of Older Adults: Test of a Sequential Mediation Model,” </w:t>
          </w:r>
          <w:r w:rsidRPr="001331F3">
            <w:rPr>
              <w:iCs/>
              <w:sz w:val="20"/>
              <w:szCs w:val="20"/>
            </w:rPr>
            <w:t>Innov Aging</w:t>
          </w:r>
          <w:r w:rsidRPr="001331F3">
            <w:rPr>
              <w:sz w:val="20"/>
              <w:szCs w:val="20"/>
            </w:rPr>
            <w:t>, vol. 8, no. 4, 2024, doi: 10.1093/geroni/igae030.</w:t>
          </w:r>
        </w:p>
        <w:p w:rsidR="001331F3" w:rsidRPr="001331F3" w:rsidRDefault="001331F3" w:rsidP="001331F3">
          <w:pPr>
            <w:pStyle w:val="JSKReferenceItem"/>
            <w:ind w:left="720" w:hanging="720"/>
            <w:rPr>
              <w:sz w:val="20"/>
              <w:szCs w:val="20"/>
            </w:rPr>
          </w:pPr>
          <w:r w:rsidRPr="001331F3">
            <w:rPr>
              <w:sz w:val="20"/>
              <w:szCs w:val="20"/>
            </w:rPr>
            <w:t>[42]</w:t>
          </w:r>
          <w:r w:rsidRPr="001331F3">
            <w:rPr>
              <w:sz w:val="20"/>
              <w:szCs w:val="20"/>
            </w:rPr>
            <w:tab/>
            <w:t xml:space="preserve">H. R. Walen and M. E. Lachman, “Social Support and Longevity: A Meta-Analysis,” </w:t>
          </w:r>
          <w:r w:rsidRPr="001331F3">
            <w:rPr>
              <w:iCs/>
              <w:sz w:val="20"/>
              <w:szCs w:val="20"/>
            </w:rPr>
            <w:t>Health Psychol Rev</w:t>
          </w:r>
          <w:r w:rsidRPr="001331F3">
            <w:rPr>
              <w:sz w:val="20"/>
              <w:szCs w:val="20"/>
            </w:rPr>
            <w:t>, vol. 13, no. 3, pp. 221–239, 2019.</w:t>
          </w:r>
        </w:p>
        <w:p w:rsidR="001331F3" w:rsidRPr="001331F3" w:rsidRDefault="001331F3" w:rsidP="001331F3">
          <w:pPr>
            <w:pStyle w:val="JSKReferenceItem"/>
            <w:ind w:left="720" w:hanging="720"/>
            <w:rPr>
              <w:sz w:val="20"/>
              <w:szCs w:val="20"/>
            </w:rPr>
          </w:pPr>
          <w:r w:rsidRPr="001331F3">
            <w:rPr>
              <w:sz w:val="20"/>
              <w:szCs w:val="20"/>
            </w:rPr>
            <w:t>[43]</w:t>
          </w:r>
          <w:r w:rsidRPr="001331F3">
            <w:rPr>
              <w:sz w:val="20"/>
              <w:szCs w:val="20"/>
            </w:rPr>
            <w:tab/>
            <w:t xml:space="preserve">J. S. Pahl and A. Knafo-Noam, “Mental Health and Death Anxiety in Older Adults: A Review,” </w:t>
          </w:r>
          <w:r w:rsidRPr="001331F3">
            <w:rPr>
              <w:iCs/>
              <w:sz w:val="20"/>
              <w:szCs w:val="20"/>
            </w:rPr>
            <w:t>Psychol Med</w:t>
          </w:r>
          <w:r w:rsidRPr="001331F3">
            <w:rPr>
              <w:sz w:val="20"/>
              <w:szCs w:val="20"/>
            </w:rPr>
            <w:t>, vol. 50, no. 5, pp. 804–815, 2020.</w:t>
          </w:r>
        </w:p>
        <w:p w:rsidR="001331F3" w:rsidRPr="001331F3" w:rsidRDefault="001331F3" w:rsidP="001331F3">
          <w:pPr>
            <w:pStyle w:val="JSKReferenceItem"/>
            <w:ind w:left="720" w:hanging="720"/>
            <w:rPr>
              <w:sz w:val="20"/>
              <w:szCs w:val="20"/>
            </w:rPr>
          </w:pPr>
          <w:r w:rsidRPr="001331F3">
            <w:rPr>
              <w:sz w:val="20"/>
              <w:szCs w:val="20"/>
            </w:rPr>
            <w:t>[44]</w:t>
          </w:r>
          <w:r w:rsidRPr="001331F3">
            <w:rPr>
              <w:sz w:val="20"/>
              <w:szCs w:val="20"/>
            </w:rPr>
            <w:tab/>
            <w:t xml:space="preserve">D. P. McAdams and E. de St. Aubin, “he Life Story and Psychological Well-being: The Role of Life Experiences in Shaping Death Anxiety,” </w:t>
          </w:r>
          <w:r w:rsidRPr="001331F3">
            <w:rPr>
              <w:iCs/>
              <w:sz w:val="20"/>
              <w:szCs w:val="20"/>
            </w:rPr>
            <w:t>J Pers</w:t>
          </w:r>
          <w:r w:rsidRPr="001331F3">
            <w:rPr>
              <w:sz w:val="20"/>
              <w:szCs w:val="20"/>
            </w:rPr>
            <w:t>, vol. 89, no. 1, pp. 85–89, 2021.</w:t>
          </w:r>
        </w:p>
        <w:p w:rsidR="001331F3" w:rsidRPr="001331F3" w:rsidRDefault="001331F3" w:rsidP="001331F3">
          <w:pPr>
            <w:pStyle w:val="JSKReferenceItem"/>
            <w:ind w:left="720" w:hanging="720"/>
            <w:rPr>
              <w:sz w:val="20"/>
              <w:szCs w:val="20"/>
            </w:rPr>
          </w:pPr>
          <w:r w:rsidRPr="001331F3">
            <w:rPr>
              <w:sz w:val="20"/>
              <w:szCs w:val="20"/>
            </w:rPr>
            <w:t>[45]</w:t>
          </w:r>
          <w:r w:rsidRPr="001331F3">
            <w:rPr>
              <w:sz w:val="20"/>
              <w:szCs w:val="20"/>
            </w:rPr>
            <w:tab/>
            <w:t xml:space="preserve">K. L. Chou and I. Chi, “Social Isolation and Health Outcomes in Older Adults: A Review,” </w:t>
          </w:r>
          <w:r w:rsidRPr="001331F3">
            <w:rPr>
              <w:iCs/>
              <w:sz w:val="20"/>
              <w:szCs w:val="20"/>
            </w:rPr>
            <w:t>Aging Ment Health</w:t>
          </w:r>
          <w:r w:rsidRPr="001331F3">
            <w:rPr>
              <w:sz w:val="20"/>
              <w:szCs w:val="20"/>
            </w:rPr>
            <w:t>, vol. 23, no. 1, pp. 4–11, 2019.</w:t>
          </w:r>
        </w:p>
        <w:p w:rsidR="001331F3" w:rsidRPr="001331F3" w:rsidRDefault="001331F3" w:rsidP="001331F3">
          <w:pPr>
            <w:pStyle w:val="JSKReferenceItem"/>
            <w:ind w:left="720" w:hanging="720"/>
            <w:rPr>
              <w:sz w:val="20"/>
              <w:szCs w:val="20"/>
            </w:rPr>
          </w:pPr>
          <w:r w:rsidRPr="001331F3">
            <w:rPr>
              <w:sz w:val="20"/>
              <w:szCs w:val="20"/>
            </w:rPr>
            <w:t>[46]</w:t>
          </w:r>
          <w:r w:rsidRPr="001331F3">
            <w:rPr>
              <w:sz w:val="20"/>
              <w:szCs w:val="20"/>
            </w:rPr>
            <w:tab/>
            <w:t xml:space="preserve">K. A. Van Orden and K. R. Conner, “Cognitive Factors and Death Anxiety in Older Adults,” </w:t>
          </w:r>
          <w:r w:rsidRPr="001331F3">
            <w:rPr>
              <w:iCs/>
              <w:sz w:val="20"/>
              <w:szCs w:val="20"/>
            </w:rPr>
            <w:t>J Cogn Psychother</w:t>
          </w:r>
          <w:r w:rsidRPr="001331F3">
            <w:rPr>
              <w:sz w:val="20"/>
              <w:szCs w:val="20"/>
            </w:rPr>
            <w:t>, vol. 33, no. 4, pp. 259–274, 2019.</w:t>
          </w:r>
        </w:p>
        <w:p w:rsidR="001331F3" w:rsidRPr="001331F3" w:rsidRDefault="001331F3" w:rsidP="001331F3">
          <w:pPr>
            <w:pStyle w:val="JSKReferenceItem"/>
            <w:ind w:left="720" w:hanging="720"/>
            <w:rPr>
              <w:sz w:val="20"/>
              <w:szCs w:val="20"/>
            </w:rPr>
          </w:pPr>
          <w:r w:rsidRPr="001331F3">
            <w:rPr>
              <w:sz w:val="20"/>
              <w:szCs w:val="20"/>
            </w:rPr>
            <w:t>[47]</w:t>
          </w:r>
          <w:r w:rsidRPr="001331F3">
            <w:rPr>
              <w:sz w:val="20"/>
              <w:szCs w:val="20"/>
            </w:rPr>
            <w:tab/>
            <w:t xml:space="preserve">S. T. Charles and L. L. Carstensen, “Aging and Emotional Experience: The Role of Social Engagement,” </w:t>
          </w:r>
          <w:r w:rsidRPr="001331F3">
            <w:rPr>
              <w:iCs/>
              <w:sz w:val="20"/>
              <w:szCs w:val="20"/>
            </w:rPr>
            <w:t>Curr Dir Psychol Sci</w:t>
          </w:r>
          <w:r w:rsidRPr="001331F3">
            <w:rPr>
              <w:sz w:val="20"/>
              <w:szCs w:val="20"/>
            </w:rPr>
            <w:t>, vol. 28, no. 2, pp. 104–109, 2019.</w:t>
          </w:r>
        </w:p>
        <w:p w:rsidR="001331F3" w:rsidRPr="001331F3" w:rsidRDefault="001331F3" w:rsidP="001331F3">
          <w:pPr>
            <w:pStyle w:val="JSKReferenceItem"/>
            <w:ind w:left="720" w:hanging="720"/>
            <w:rPr>
              <w:sz w:val="20"/>
              <w:szCs w:val="20"/>
            </w:rPr>
          </w:pPr>
          <w:r w:rsidRPr="001331F3">
            <w:rPr>
              <w:sz w:val="20"/>
              <w:szCs w:val="20"/>
            </w:rPr>
            <w:t>[48]</w:t>
          </w:r>
          <w:r w:rsidRPr="001331F3">
            <w:rPr>
              <w:sz w:val="20"/>
              <w:szCs w:val="20"/>
            </w:rPr>
            <w:tab/>
            <w:t xml:space="preserve">J. Zheng and L. Gao, “Parenting self-efficacy and social support among parents in mainland China across the first six months postpartum: A prospective cohort study,” </w:t>
          </w:r>
          <w:r w:rsidRPr="001331F3">
            <w:rPr>
              <w:iCs/>
              <w:sz w:val="20"/>
              <w:szCs w:val="20"/>
            </w:rPr>
            <w:t>Midwifery</w:t>
          </w:r>
          <w:r w:rsidRPr="001331F3">
            <w:rPr>
              <w:sz w:val="20"/>
              <w:szCs w:val="20"/>
            </w:rPr>
            <w:t>, vol. 123, p. 103719, 2023, doi: https://doi.org/10.1016/j.midw.2023.103719.</w:t>
          </w:r>
        </w:p>
        <w:p w:rsidR="001331F3" w:rsidRPr="001331F3" w:rsidRDefault="001331F3" w:rsidP="001331F3">
          <w:pPr>
            <w:pStyle w:val="JSKReferenceItem"/>
            <w:ind w:left="720" w:hanging="720"/>
            <w:rPr>
              <w:sz w:val="20"/>
              <w:szCs w:val="20"/>
            </w:rPr>
          </w:pPr>
          <w:r w:rsidRPr="001331F3">
            <w:rPr>
              <w:sz w:val="20"/>
              <w:szCs w:val="20"/>
            </w:rPr>
            <w:t> </w:t>
          </w:r>
        </w:p>
      </w:sdtContent>
    </w:sdt>
    <w:p w:rsidR="00BE5093" w:rsidRPr="001331F3" w:rsidRDefault="00BE5093" w:rsidP="001331F3">
      <w:pPr>
        <w:pBdr>
          <w:top w:val="nil"/>
          <w:left w:val="nil"/>
          <w:bottom w:val="nil"/>
          <w:right w:val="nil"/>
          <w:between w:val="nil"/>
        </w:pBdr>
        <w:ind w:left="720" w:hanging="720"/>
        <w:jc w:val="both"/>
        <w:rPr>
          <w:sz w:val="20"/>
          <w:szCs w:val="20"/>
        </w:rPr>
      </w:pPr>
    </w:p>
    <w:p w:rsidR="00BE5093" w:rsidRPr="001331F3" w:rsidRDefault="00BE5093" w:rsidP="001331F3">
      <w:pPr>
        <w:pBdr>
          <w:top w:val="nil"/>
          <w:left w:val="nil"/>
          <w:bottom w:val="nil"/>
          <w:right w:val="nil"/>
          <w:between w:val="nil"/>
        </w:pBdr>
        <w:ind w:left="720" w:hanging="720"/>
        <w:jc w:val="both"/>
        <w:rPr>
          <w:color w:val="000000"/>
          <w:sz w:val="20"/>
          <w:szCs w:val="20"/>
        </w:rPr>
      </w:pPr>
    </w:p>
    <w:p w:rsidR="00BE5093" w:rsidRPr="001331F3" w:rsidRDefault="0009570F" w:rsidP="001331F3">
      <w:pPr>
        <w:pBdr>
          <w:top w:val="nil"/>
          <w:left w:val="nil"/>
          <w:bottom w:val="nil"/>
          <w:right w:val="nil"/>
          <w:between w:val="nil"/>
        </w:pBdr>
        <w:ind w:left="720" w:hanging="720"/>
        <w:jc w:val="both"/>
        <w:rPr>
          <w:color w:val="000000"/>
          <w:sz w:val="20"/>
          <w:szCs w:val="20"/>
        </w:rPr>
      </w:pPr>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g">
          <w:drawing>
            <wp:anchor allowOverlap="1" behindDoc="1" distB="0" distT="0" distL="0" distR="0" hidden="0" layoutInCell="1" locked="0" relativeHeight="0" simplePos="0">
              <wp:simplePos x="0" y="0"/>
              <wp:positionH relativeFrom="column">
                <wp:posOffset>0</wp:posOffset>
              </wp:positionH>
              <wp:positionV relativeFrom="paragraph">
                <wp:posOffset>88900</wp:posOffset>
              </wp:positionV>
              <wp:extent cx="5943600" cy="588645"/>
              <wp:effectExtent b="0" l="0" r="0" t="0"/>
              <wp:wrapNone/>
              <wp:docPr id="7" name=""/>
              <a:graphic>
                <a:graphicData uri="http://schemas.microsoft.com/office/word/2010/wordprocessingShape">
                  <wps:wsp>
                    <wps:cNvSpPr/>
                    <wps:cNvPr id="2" name="Shape 2"/>
                    <wps:spPr>
                      <a:xfrm>
                        <a:off x="2378963" y="3490440"/>
                        <a:ext cx="5934075" cy="579120"/>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432.00000762939453" w:right="0" w:firstLine="0"/>
                            <w:jc w:val="both"/>
                            <w:textDirection w:val="btLr"/>
                          </w:pPr>
                          <w:r w:rsidDel="00000000" w:rsidR="00000000" w:rsidRPr="00000000">
                            <w:rPr>
                              <w:rFonts w:ascii="Calibri" w:cs="Calibri" w:eastAsia="Calibri" w:hAnsi="Calibri"/>
                              <w:b w:val="1"/>
                              <w:i w:val="1"/>
                              <w:smallCaps w:val="0"/>
                              <w:strike w:val="0"/>
                              <w:color w:val="000000"/>
                              <w:sz w:val="20"/>
                              <w:vertAlign w:val="baseline"/>
                            </w:rPr>
                            <w:t xml:space="preserve">Conﬂict of Interest Statement:</w:t>
                          </w:r>
                        </w:p>
                        <w:p w:rsidR="00000000" w:rsidDel="00000000" w:rsidP="00000000" w:rsidRDefault="00000000" w:rsidRPr="00000000">
                          <w:pPr>
                            <w:spacing w:after="0" w:before="0" w:line="240"/>
                            <w:ind w:left="432.00000762939453" w:right="0" w:firstLine="0"/>
                            <w:jc w:val="both"/>
                            <w:textDirection w:val="btLr"/>
                          </w:pPr>
                          <w:r w:rsidDel="00000000" w:rsidR="00000000" w:rsidRPr="00000000">
                            <w:rPr>
                              <w:rFonts w:ascii="Calibri" w:cs="Calibri" w:eastAsia="Calibri" w:hAnsi="Calibri"/>
                              <w:b w:val="1"/>
                              <w:i w:val="1"/>
                              <w:smallCaps w:val="0"/>
                              <w:strike w:val="0"/>
                              <w:color w:val="000000"/>
                              <w:sz w:val="20"/>
                              <w:vertAlign w:val="baseline"/>
                            </w:rPr>
                          </w:r>
                          <w:r w:rsidDel="00000000" w:rsidR="00000000" w:rsidRPr="00000000">
                            <w:rPr>
                              <w:rFonts w:ascii="Calibri" w:cs="Calibri" w:eastAsia="Calibri" w:hAnsi="Calibri"/>
                              <w:b w:val="0"/>
                              <w:i w:val="1"/>
                              <w:smallCaps w:val="0"/>
                              <w:strike w:val="0"/>
                              <w:color w:val="000000"/>
                              <w:sz w:val="20"/>
                              <w:vertAlign w:val="baseline"/>
                            </w:rPr>
                            <w:t xml:space="preserve">The author declares that the research was conducted in the absence of any commercial or ﬁnancial relationships that could be construed as a potential conﬂict of interest.</w:t>
                          </w:r>
                        </w:p>
                        <w:p w:rsidR="00000000" w:rsidDel="00000000" w:rsidP="00000000" w:rsidRDefault="00000000" w:rsidRPr="00000000">
                          <w:pPr>
                            <w:spacing w:after="0" w:before="0" w:line="240"/>
                            <w:ind w:left="432.00000762939453" w:right="0" w:firstLine="0"/>
                            <w:jc w:val="both"/>
                            <w:textDirection w:val="btLr"/>
                          </w:pPr>
                          <w:r w:rsidDel="00000000" w:rsidR="00000000" w:rsidRPr="00000000">
                            <w:rPr>
                              <w:rFonts w:ascii="Calibri" w:cs="Calibri" w:eastAsia="Calibri" w:hAnsi="Calibri"/>
                              <w:b w:val="0"/>
                              <w:i w:val="1"/>
                              <w:smallCaps w:val="0"/>
                              <w:strike w:val="0"/>
                              <w:color w:val="000000"/>
                              <w:sz w:val="20"/>
                              <w:vertAlign w:val="baseline"/>
                            </w:rPr>
                          </w:r>
                          <w:r w:rsidDel="00000000" w:rsidR="00000000" w:rsidRPr="00000000">
                            <w:rPr>
                              <w:rFonts w:ascii="Calibri" w:cs="Calibri" w:eastAsia="Calibri" w:hAnsi="Calibri"/>
                              <w:b w:val="0"/>
                              <w:i w:val="1"/>
                              <w:smallCaps w:val="0"/>
                              <w:strike w:val="0"/>
                              <w:color w:val="000000"/>
                              <w:sz w:val="20"/>
                              <w:vertAlign w:val="baseline"/>
                            </w:rPr>
                            <w:t xml:space="preserve"> </w:t>
                          </w:r>
                        </w:p>
                      </w:txbxContent>
                    </wps:txbx>
                    <wps:bodyPr anchorCtr="0" anchor="t" bIns="45700" lIns="91425" spcFirstLastPara="1" rIns="91425" wrap="square" tIns="45700">
                      <a:noAutofit/>
                    </wps:bodyPr>
                  </wps:wsp>
                </a:graphicData>
              </a:graphic>
            </wp:anchor>
          </w:drawing>
        </mc:Choice>
        <ve:Fallback>
          <w:r w:rsidRPr="001331F3">
            <w:rPr>
              <w:noProof/>
              <w:sz w:val="20"/>
              <w:szCs w:val="20"/>
              <w:lang w:eastAsia="id-ID"/>
            </w:rPr>
            <w:drawing>
              <wp:anchor distT="0" distB="0" distL="0" distR="0" simplePos="0" relativeHeight="251658240" behindDoc="1" locked="0" layoutInCell="1" allowOverlap="1">
                <wp:simplePos x="0" y="0"/>
                <wp:positionH relativeFrom="column">
                  <wp:posOffset>0</wp:posOffset>
                </wp:positionH>
                <wp:positionV relativeFrom="paragraph">
                  <wp:posOffset>88900</wp:posOffset>
                </wp:positionV>
                <wp:extent cx="5943600" cy="588645"/>
                <wp:effectExtent l="0" t="0" r="0" b="0"/>
                <wp:wrapNone/>
                <wp:docPr id="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8"/>
                        <a:srcRect/>
                        <a:stretch>
                          <a:fillRect/>
                        </a:stretch>
                      </pic:blipFill>
                      <pic:spPr>
                        <a:xfrm>
                          <a:off x="0" y="0"/>
                          <a:ext cx="5943600" cy="588645"/>
                        </a:xfrm>
                        <a:prstGeom prst="rect">
                          <a:avLst/>
                        </a:prstGeom>
                        <a:ln/>
                      </pic:spPr>
                    </pic:pic>
                  </a:graphicData>
                </a:graphic>
              </wp:anchor>
            </w:drawing>
          </w:r>
        </ve:Fallback>
      </ve:AlternateContent>
    </w:p>
    <w:p w:rsidR="00BE5093" w:rsidRDefault="00BE5093">
      <w:pPr>
        <w:pBdr>
          <w:top w:val="nil"/>
          <w:left w:val="nil"/>
          <w:bottom w:val="nil"/>
          <w:right w:val="nil"/>
          <w:between w:val="nil"/>
        </w:pBdr>
        <w:ind w:left="432" w:hanging="432"/>
        <w:jc w:val="both"/>
        <w:rPr>
          <w:color w:val="000000"/>
          <w:sz w:val="20"/>
          <w:szCs w:val="20"/>
        </w:rPr>
      </w:pPr>
    </w:p>
    <w:p w:rsidR="00BE5093" w:rsidRDefault="00BE5093">
      <w:pPr>
        <w:pBdr>
          <w:top w:val="nil"/>
          <w:left w:val="nil"/>
          <w:bottom w:val="nil"/>
          <w:right w:val="nil"/>
          <w:between w:val="nil"/>
        </w:pBdr>
        <w:ind w:left="432" w:hanging="432"/>
        <w:jc w:val="both"/>
        <w:rPr>
          <w:color w:val="000000"/>
          <w:sz w:val="16"/>
          <w:szCs w:val="16"/>
        </w:rPr>
      </w:pPr>
    </w:p>
    <w:p w:rsidR="00BE5093" w:rsidRDefault="00BE5093">
      <w:pPr>
        <w:pBdr>
          <w:top w:val="nil"/>
          <w:left w:val="nil"/>
          <w:bottom w:val="nil"/>
          <w:right w:val="nil"/>
          <w:between w:val="nil"/>
        </w:pBdr>
        <w:ind w:left="432" w:hanging="432"/>
        <w:jc w:val="both"/>
        <w:rPr>
          <w:color w:val="000000"/>
          <w:sz w:val="16"/>
          <w:szCs w:val="16"/>
        </w:rPr>
      </w:pPr>
    </w:p>
    <w:sectPr w:rsidR="00BE5093" w:rsidSect="00BE5093">
      <w:type w:val="continuous"/>
      <w:pgSz w:w="11906" w:h="16838"/>
      <w:pgMar w:top="1701" w:right="1134" w:bottom="1701" w:left="1412" w:header="1134"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0227" w:rsidRDefault="004B0227" w:rsidP="00BE5093">
      <w:r>
        <w:separator/>
      </w:r>
    </w:p>
  </w:endnote>
  <w:endnote w:type="continuationSeparator" w:id="0">
    <w:p w:rsidR="004B0227" w:rsidRDefault="004B0227" w:rsidP="00BE50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Noto Sans Symbols">
    <w:altName w:val="Times New Roman"/>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eeSans">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4C0" w:rsidRDefault="00C464C0">
    <w:pPr>
      <w:pBdr>
        <w:top w:val="nil"/>
        <w:left w:val="nil"/>
        <w:bottom w:val="nil"/>
        <w:right w:val="nil"/>
        <w:between w:val="nil"/>
      </w:pBdr>
      <w:jc w:val="center"/>
      <w:rPr>
        <w:color w:val="000000"/>
        <w:sz w:val="14"/>
        <w:szCs w:val="14"/>
      </w:rPr>
    </w:pPr>
    <w:r>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4C0" w:rsidRDefault="00C464C0">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4C0" w:rsidRDefault="00C464C0">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0227" w:rsidRDefault="004B0227" w:rsidP="00BE5093">
      <w:r>
        <w:separator/>
      </w:r>
    </w:p>
  </w:footnote>
  <w:footnote w:type="continuationSeparator" w:id="0">
    <w:p w:rsidR="004B0227" w:rsidRDefault="004B0227" w:rsidP="00BE50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4C0" w:rsidRDefault="00C464C0">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737976">
      <w:rPr>
        <w:noProof/>
        <w:color w:val="000000"/>
      </w:rPr>
      <w:t>12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4C0" w:rsidRDefault="00C464C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37976">
      <w:rPr>
        <w:noProof/>
        <w:color w:val="000000"/>
      </w:rPr>
      <w:t>13</w:t>
    </w:r>
    <w:r>
      <w:rPr>
        <w:color w:val="000000"/>
      </w:rPr>
      <w:fldChar w:fldCharType="end"/>
    </w:r>
  </w:p>
  <w:p w:rsidR="00C464C0" w:rsidRDefault="00C464C0">
    <w:pPr>
      <w:pBdr>
        <w:top w:val="nil"/>
        <w:left w:val="nil"/>
        <w:bottom w:val="nil"/>
        <w:right w:val="nil"/>
        <w:between w:val="nil"/>
      </w:pBdr>
      <w:tabs>
        <w:tab w:val="center" w:pos="4680"/>
        <w:tab w:val="right" w:pos="936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4C0" w:rsidRDefault="00C464C0">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rsidR="00C464C0" w:rsidRDefault="00C464C0"/>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E2444"/>
    <w:multiLevelType w:val="multilevel"/>
    <w:tmpl w:val="E8CA4642"/>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
    <w:nsid w:val="28A456C9"/>
    <w:multiLevelType w:val="multilevel"/>
    <w:tmpl w:val="5E0680FA"/>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452D200C"/>
    <w:multiLevelType w:val="multilevel"/>
    <w:tmpl w:val="4064934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52DF09FD"/>
    <w:multiLevelType w:val="multilevel"/>
    <w:tmpl w:val="D9262800"/>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defaultTabStop w:val="720"/>
  <w:evenAndOddHeaders/>
  <w:characterSpacingControl w:val="doNotCompress"/>
  <w:footnotePr>
    <w:footnote w:id="-1"/>
    <w:footnote w:id="0"/>
  </w:footnotePr>
  <w:endnotePr>
    <w:endnote w:id="-1"/>
    <w:endnote w:id="0"/>
  </w:endnotePr>
  <w:compat/>
  <w:rsids>
    <w:rsidRoot w:val="00BE5093"/>
    <w:rsid w:val="0009570F"/>
    <w:rsid w:val="000C52D0"/>
    <w:rsid w:val="001331F3"/>
    <w:rsid w:val="001A2F91"/>
    <w:rsid w:val="004B0227"/>
    <w:rsid w:val="00597E86"/>
    <w:rsid w:val="00737976"/>
    <w:rsid w:val="00A750A5"/>
    <w:rsid w:val="00B14057"/>
    <w:rsid w:val="00BE5093"/>
    <w:rsid w:val="00C464C0"/>
    <w:rsid w:val="00CB46FC"/>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5093"/>
    <w:pPr>
      <w:suppressAutoHyphens/>
    </w:pPr>
    <w:rPr>
      <w:lang w:eastAsia="zh-CN"/>
    </w:rPr>
  </w:style>
  <w:style w:type="paragraph" w:styleId="Heading1">
    <w:name w:val="heading 1"/>
    <w:basedOn w:val="Normal"/>
    <w:next w:val="Normal"/>
    <w:qFormat/>
    <w:rsid w:val="00BE5093"/>
    <w:pPr>
      <w:keepNext/>
      <w:numPr>
        <w:numId w:val="1"/>
      </w:numPr>
      <w:spacing w:before="288" w:after="144"/>
      <w:jc w:val="center"/>
      <w:outlineLvl w:val="0"/>
    </w:pPr>
    <w:rPr>
      <w:b/>
      <w:smallCaps/>
      <w:sz w:val="20"/>
      <w:szCs w:val="20"/>
    </w:rPr>
  </w:style>
  <w:style w:type="paragraph" w:styleId="Heading2">
    <w:name w:val="heading 2"/>
    <w:basedOn w:val="Normal"/>
    <w:next w:val="Normal"/>
    <w:qFormat/>
    <w:rsid w:val="00BE5093"/>
    <w:pPr>
      <w:keepNext/>
      <w:numPr>
        <w:ilvl w:val="1"/>
        <w:numId w:val="1"/>
      </w:numPr>
      <w:jc w:val="both"/>
      <w:outlineLvl w:val="1"/>
    </w:pPr>
    <w:rPr>
      <w:szCs w:val="20"/>
    </w:rPr>
  </w:style>
  <w:style w:type="paragraph" w:styleId="Heading3">
    <w:name w:val="heading 3"/>
    <w:basedOn w:val="Normal"/>
    <w:next w:val="Normal"/>
    <w:qFormat/>
    <w:rsid w:val="00BE5093"/>
    <w:pPr>
      <w:keepNext/>
      <w:numPr>
        <w:ilvl w:val="2"/>
        <w:numId w:val="1"/>
      </w:numPr>
      <w:ind w:firstLine="851"/>
      <w:jc w:val="both"/>
      <w:outlineLvl w:val="2"/>
    </w:pPr>
    <w:rPr>
      <w:b/>
      <w:sz w:val="20"/>
      <w:szCs w:val="20"/>
    </w:rPr>
  </w:style>
  <w:style w:type="paragraph" w:styleId="Heading4">
    <w:name w:val="heading 4"/>
    <w:basedOn w:val="normal0"/>
    <w:next w:val="normal0"/>
    <w:rsid w:val="00BE5093"/>
    <w:pPr>
      <w:keepNext/>
      <w:keepLines/>
      <w:spacing w:before="240" w:after="40"/>
      <w:outlineLvl w:val="3"/>
    </w:pPr>
    <w:rPr>
      <w:b/>
    </w:rPr>
  </w:style>
  <w:style w:type="paragraph" w:styleId="Heading5">
    <w:name w:val="heading 5"/>
    <w:basedOn w:val="normal0"/>
    <w:next w:val="normal0"/>
    <w:rsid w:val="00BE5093"/>
    <w:pPr>
      <w:keepNext/>
      <w:keepLines/>
      <w:spacing w:before="220" w:after="40"/>
      <w:outlineLvl w:val="4"/>
    </w:pPr>
    <w:rPr>
      <w:b/>
      <w:sz w:val="22"/>
      <w:szCs w:val="22"/>
    </w:rPr>
  </w:style>
  <w:style w:type="paragraph" w:styleId="Heading6">
    <w:name w:val="heading 6"/>
    <w:basedOn w:val="normal0"/>
    <w:next w:val="normal0"/>
    <w:rsid w:val="00BE5093"/>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BE5093"/>
  </w:style>
  <w:style w:type="paragraph" w:styleId="Title">
    <w:name w:val="Title"/>
    <w:basedOn w:val="normal0"/>
    <w:next w:val="normal0"/>
    <w:rsid w:val="00BE5093"/>
    <w:pPr>
      <w:keepNext/>
      <w:keepLines/>
      <w:spacing w:before="480" w:after="120"/>
    </w:pPr>
    <w:rPr>
      <w:b/>
      <w:sz w:val="72"/>
      <w:szCs w:val="72"/>
    </w:rPr>
  </w:style>
  <w:style w:type="character" w:customStyle="1" w:styleId="WW8Num1z0">
    <w:name w:val="WW8Num1z0"/>
    <w:rsid w:val="00BE5093"/>
    <w:rPr>
      <w:b/>
    </w:rPr>
  </w:style>
  <w:style w:type="character" w:customStyle="1" w:styleId="WW8Num1z1">
    <w:name w:val="WW8Num1z1"/>
    <w:rsid w:val="00BE5093"/>
  </w:style>
  <w:style w:type="character" w:customStyle="1" w:styleId="WW8Num1z2">
    <w:name w:val="WW8Num1z2"/>
    <w:rsid w:val="00BE5093"/>
  </w:style>
  <w:style w:type="character" w:customStyle="1" w:styleId="WW8Num1z3">
    <w:name w:val="WW8Num1z3"/>
    <w:rsid w:val="00BE5093"/>
  </w:style>
  <w:style w:type="character" w:customStyle="1" w:styleId="WW8Num1z4">
    <w:name w:val="WW8Num1z4"/>
    <w:rsid w:val="00BE5093"/>
  </w:style>
  <w:style w:type="character" w:customStyle="1" w:styleId="WW8Num1z5">
    <w:name w:val="WW8Num1z5"/>
    <w:rsid w:val="00BE5093"/>
  </w:style>
  <w:style w:type="character" w:customStyle="1" w:styleId="WW8Num1z6">
    <w:name w:val="WW8Num1z6"/>
    <w:rsid w:val="00BE5093"/>
  </w:style>
  <w:style w:type="character" w:customStyle="1" w:styleId="WW8Num1z7">
    <w:name w:val="WW8Num1z7"/>
    <w:rsid w:val="00BE5093"/>
  </w:style>
  <w:style w:type="character" w:customStyle="1" w:styleId="WW8Num1z8">
    <w:name w:val="WW8Num1z8"/>
    <w:rsid w:val="00BE5093"/>
  </w:style>
  <w:style w:type="character" w:customStyle="1" w:styleId="WW8Num2z0">
    <w:name w:val="WW8Num2z0"/>
    <w:rsid w:val="00BE5093"/>
  </w:style>
  <w:style w:type="character" w:customStyle="1" w:styleId="WW8Num2z1">
    <w:name w:val="WW8Num2z1"/>
    <w:rsid w:val="00BE5093"/>
  </w:style>
  <w:style w:type="character" w:customStyle="1" w:styleId="WW8Num2z2">
    <w:name w:val="WW8Num2z2"/>
    <w:rsid w:val="00BE5093"/>
  </w:style>
  <w:style w:type="character" w:customStyle="1" w:styleId="WW8Num2z3">
    <w:name w:val="WW8Num2z3"/>
    <w:rsid w:val="00BE5093"/>
  </w:style>
  <w:style w:type="character" w:customStyle="1" w:styleId="WW8Num2z4">
    <w:name w:val="WW8Num2z4"/>
    <w:rsid w:val="00BE5093"/>
  </w:style>
  <w:style w:type="character" w:customStyle="1" w:styleId="WW8Num2z5">
    <w:name w:val="WW8Num2z5"/>
    <w:rsid w:val="00BE5093"/>
  </w:style>
  <w:style w:type="character" w:customStyle="1" w:styleId="WW8Num2z6">
    <w:name w:val="WW8Num2z6"/>
    <w:rsid w:val="00BE5093"/>
  </w:style>
  <w:style w:type="character" w:customStyle="1" w:styleId="WW8Num2z7">
    <w:name w:val="WW8Num2z7"/>
    <w:rsid w:val="00BE5093"/>
  </w:style>
  <w:style w:type="character" w:customStyle="1" w:styleId="WW8Num2z8">
    <w:name w:val="WW8Num2z8"/>
    <w:rsid w:val="00BE5093"/>
  </w:style>
  <w:style w:type="character" w:customStyle="1" w:styleId="WW8Num3z0">
    <w:name w:val="WW8Num3z0"/>
    <w:rsid w:val="00BE5093"/>
  </w:style>
  <w:style w:type="character" w:customStyle="1" w:styleId="WW8Num3z1">
    <w:name w:val="WW8Num3z1"/>
    <w:rsid w:val="00BE5093"/>
  </w:style>
  <w:style w:type="character" w:customStyle="1" w:styleId="WW8Num3z2">
    <w:name w:val="WW8Num3z2"/>
    <w:rsid w:val="00BE5093"/>
  </w:style>
  <w:style w:type="character" w:customStyle="1" w:styleId="WW8Num3z3">
    <w:name w:val="WW8Num3z3"/>
    <w:rsid w:val="00BE5093"/>
  </w:style>
  <w:style w:type="character" w:customStyle="1" w:styleId="WW8Num3z4">
    <w:name w:val="WW8Num3z4"/>
    <w:rsid w:val="00BE5093"/>
  </w:style>
  <w:style w:type="character" w:customStyle="1" w:styleId="WW8Num3z5">
    <w:name w:val="WW8Num3z5"/>
    <w:rsid w:val="00BE5093"/>
  </w:style>
  <w:style w:type="character" w:customStyle="1" w:styleId="WW8Num3z6">
    <w:name w:val="WW8Num3z6"/>
    <w:rsid w:val="00BE5093"/>
  </w:style>
  <w:style w:type="character" w:customStyle="1" w:styleId="WW8Num3z7">
    <w:name w:val="WW8Num3z7"/>
    <w:rsid w:val="00BE5093"/>
  </w:style>
  <w:style w:type="character" w:customStyle="1" w:styleId="WW8Num3z8">
    <w:name w:val="WW8Num3z8"/>
    <w:rsid w:val="00BE5093"/>
  </w:style>
  <w:style w:type="character" w:customStyle="1" w:styleId="WW8Num4z0">
    <w:name w:val="WW8Num4z0"/>
    <w:rsid w:val="00BE5093"/>
    <w:rPr>
      <w:i/>
    </w:rPr>
  </w:style>
  <w:style w:type="character" w:customStyle="1" w:styleId="WW8Num4z1">
    <w:name w:val="WW8Num4z1"/>
    <w:rsid w:val="00BE5093"/>
  </w:style>
  <w:style w:type="character" w:customStyle="1" w:styleId="WW8Num4z2">
    <w:name w:val="WW8Num4z2"/>
    <w:rsid w:val="00BE5093"/>
  </w:style>
  <w:style w:type="character" w:customStyle="1" w:styleId="WW8Num4z3">
    <w:name w:val="WW8Num4z3"/>
    <w:rsid w:val="00BE5093"/>
  </w:style>
  <w:style w:type="character" w:customStyle="1" w:styleId="WW8Num4z4">
    <w:name w:val="WW8Num4z4"/>
    <w:rsid w:val="00BE5093"/>
  </w:style>
  <w:style w:type="character" w:customStyle="1" w:styleId="WW8Num4z5">
    <w:name w:val="WW8Num4z5"/>
    <w:rsid w:val="00BE5093"/>
  </w:style>
  <w:style w:type="character" w:customStyle="1" w:styleId="WW8Num4z6">
    <w:name w:val="WW8Num4z6"/>
    <w:rsid w:val="00BE5093"/>
  </w:style>
  <w:style w:type="character" w:customStyle="1" w:styleId="WW8Num4z7">
    <w:name w:val="WW8Num4z7"/>
    <w:rsid w:val="00BE5093"/>
  </w:style>
  <w:style w:type="character" w:customStyle="1" w:styleId="WW8Num4z8">
    <w:name w:val="WW8Num4z8"/>
    <w:rsid w:val="00BE5093"/>
  </w:style>
  <w:style w:type="character" w:customStyle="1" w:styleId="WW8Num5z0">
    <w:name w:val="WW8Num5z0"/>
    <w:rsid w:val="00BE5093"/>
  </w:style>
  <w:style w:type="character" w:customStyle="1" w:styleId="WW8Num5z1">
    <w:name w:val="WW8Num5z1"/>
    <w:rsid w:val="00BE5093"/>
  </w:style>
  <w:style w:type="character" w:customStyle="1" w:styleId="WW8Num5z2">
    <w:name w:val="WW8Num5z2"/>
    <w:rsid w:val="00BE5093"/>
  </w:style>
  <w:style w:type="character" w:customStyle="1" w:styleId="WW8Num5z3">
    <w:name w:val="WW8Num5z3"/>
    <w:rsid w:val="00BE5093"/>
  </w:style>
  <w:style w:type="character" w:customStyle="1" w:styleId="WW8Num5z4">
    <w:name w:val="WW8Num5z4"/>
    <w:rsid w:val="00BE5093"/>
  </w:style>
  <w:style w:type="character" w:customStyle="1" w:styleId="WW8Num5z5">
    <w:name w:val="WW8Num5z5"/>
    <w:rsid w:val="00BE5093"/>
  </w:style>
  <w:style w:type="character" w:customStyle="1" w:styleId="WW8Num5z6">
    <w:name w:val="WW8Num5z6"/>
    <w:rsid w:val="00BE5093"/>
  </w:style>
  <w:style w:type="character" w:customStyle="1" w:styleId="WW8Num5z7">
    <w:name w:val="WW8Num5z7"/>
    <w:rsid w:val="00BE5093"/>
  </w:style>
  <w:style w:type="character" w:customStyle="1" w:styleId="WW8Num5z8">
    <w:name w:val="WW8Num5z8"/>
    <w:rsid w:val="00BE5093"/>
  </w:style>
  <w:style w:type="character" w:customStyle="1" w:styleId="FootnoteCharacters">
    <w:name w:val="Footnote Characters"/>
    <w:rsid w:val="00BE5093"/>
    <w:rPr>
      <w:vertAlign w:val="superscript"/>
    </w:rPr>
  </w:style>
  <w:style w:type="character" w:styleId="Hyperlink">
    <w:name w:val="Hyperlink"/>
    <w:rsid w:val="00BE5093"/>
    <w:rPr>
      <w:color w:val="0000FF"/>
      <w:u w:val="single"/>
    </w:rPr>
  </w:style>
  <w:style w:type="character" w:customStyle="1" w:styleId="WW8Num21z0">
    <w:name w:val="WW8Num21z0"/>
    <w:rsid w:val="00BE5093"/>
    <w:rPr>
      <w:rFonts w:ascii="Symbol" w:hAnsi="Symbol" w:cs="Times New Roman"/>
      <w:sz w:val="20"/>
      <w:szCs w:val="16"/>
    </w:rPr>
  </w:style>
  <w:style w:type="character" w:customStyle="1" w:styleId="WW8Num21z1">
    <w:name w:val="WW8Num21z1"/>
    <w:rsid w:val="00BE5093"/>
    <w:rPr>
      <w:rFonts w:ascii="Symbol" w:eastAsia="SimSun" w:hAnsi="Symbol"/>
      <w:sz w:val="16"/>
      <w:szCs w:val="24"/>
    </w:rPr>
  </w:style>
  <w:style w:type="character" w:styleId="Emphasis">
    <w:name w:val="Emphasis"/>
    <w:qFormat/>
    <w:rsid w:val="00BE5093"/>
    <w:rPr>
      <w:i/>
      <w:iCs/>
    </w:rPr>
  </w:style>
  <w:style w:type="paragraph" w:customStyle="1" w:styleId="Heading">
    <w:name w:val="Heading"/>
    <w:basedOn w:val="Normal"/>
    <w:next w:val="Subtitle"/>
    <w:rsid w:val="00BE5093"/>
    <w:pPr>
      <w:jc w:val="center"/>
    </w:pPr>
    <w:rPr>
      <w:rFonts w:cs="Arial"/>
      <w:b/>
      <w:bCs/>
      <w:kern w:val="1"/>
      <w:sz w:val="32"/>
      <w:szCs w:val="32"/>
    </w:rPr>
  </w:style>
  <w:style w:type="paragraph" w:styleId="BodyText">
    <w:name w:val="Body Text"/>
    <w:basedOn w:val="Normal"/>
    <w:rsid w:val="00BE5093"/>
    <w:pPr>
      <w:spacing w:after="140" w:line="288" w:lineRule="auto"/>
    </w:pPr>
  </w:style>
  <w:style w:type="paragraph" w:styleId="List">
    <w:name w:val="List"/>
    <w:basedOn w:val="BodyText"/>
    <w:rsid w:val="00BE5093"/>
    <w:rPr>
      <w:rFonts w:cs="FreeSans"/>
    </w:rPr>
  </w:style>
  <w:style w:type="paragraph" w:styleId="Caption">
    <w:name w:val="caption"/>
    <w:basedOn w:val="Normal"/>
    <w:qFormat/>
    <w:rsid w:val="00BE5093"/>
    <w:pPr>
      <w:suppressLineNumbers/>
      <w:spacing w:before="120" w:after="120"/>
    </w:pPr>
    <w:rPr>
      <w:rFonts w:cs="FreeSans"/>
      <w:i/>
      <w:iCs/>
    </w:rPr>
  </w:style>
  <w:style w:type="paragraph" w:customStyle="1" w:styleId="Index">
    <w:name w:val="Index"/>
    <w:basedOn w:val="Normal"/>
    <w:rsid w:val="00BE5093"/>
    <w:pPr>
      <w:suppressLineNumbers/>
    </w:pPr>
    <w:rPr>
      <w:rFonts w:cs="FreeSans"/>
    </w:rPr>
  </w:style>
  <w:style w:type="paragraph" w:styleId="Subtitle">
    <w:name w:val="Subtitle"/>
    <w:basedOn w:val="Normal"/>
    <w:next w:val="Normal"/>
    <w:rsid w:val="00BE5093"/>
    <w:pPr>
      <w:spacing w:after="60"/>
      <w:jc w:val="center"/>
    </w:pPr>
    <w:rPr>
      <w:rFonts w:ascii="Arial" w:eastAsia="Arial" w:hAnsi="Arial" w:cs="Arial"/>
    </w:rPr>
  </w:style>
  <w:style w:type="paragraph" w:styleId="BodyTextIndent">
    <w:name w:val="Body Text Indent"/>
    <w:basedOn w:val="Normal"/>
    <w:rsid w:val="00BE5093"/>
    <w:pPr>
      <w:ind w:firstLine="567"/>
      <w:jc w:val="both"/>
    </w:pPr>
    <w:rPr>
      <w:sz w:val="20"/>
      <w:szCs w:val="20"/>
    </w:rPr>
  </w:style>
  <w:style w:type="paragraph" w:styleId="BodyTextIndent2">
    <w:name w:val="Body Text Indent 2"/>
    <w:basedOn w:val="Normal"/>
    <w:rsid w:val="00BE5093"/>
    <w:pPr>
      <w:ind w:left="567" w:hanging="567"/>
      <w:jc w:val="both"/>
    </w:pPr>
    <w:rPr>
      <w:sz w:val="20"/>
      <w:szCs w:val="20"/>
    </w:rPr>
  </w:style>
  <w:style w:type="paragraph" w:customStyle="1" w:styleId="Equation">
    <w:name w:val="Equation"/>
    <w:basedOn w:val="BodyTextIndent"/>
    <w:rsid w:val="00BE5093"/>
    <w:pPr>
      <w:tabs>
        <w:tab w:val="left" w:pos="57"/>
        <w:tab w:val="center" w:pos="1985"/>
        <w:tab w:val="right" w:pos="4026"/>
      </w:tabs>
      <w:ind w:firstLine="0"/>
      <w:jc w:val="left"/>
    </w:pPr>
  </w:style>
  <w:style w:type="paragraph" w:customStyle="1" w:styleId="Body">
    <w:name w:val="Body"/>
    <w:basedOn w:val="BodyTextIndent"/>
    <w:rsid w:val="00BE5093"/>
    <w:pPr>
      <w:ind w:firstLine="288"/>
    </w:pPr>
  </w:style>
  <w:style w:type="paragraph" w:customStyle="1" w:styleId="BodyAbstract">
    <w:name w:val="Body Abstract"/>
    <w:basedOn w:val="Heading1"/>
    <w:rsid w:val="00BE5093"/>
    <w:pPr>
      <w:numPr>
        <w:numId w:val="0"/>
      </w:numPr>
      <w:ind w:left="567" w:right="567"/>
    </w:pPr>
    <w:rPr>
      <w:b w:val="0"/>
      <w:i/>
    </w:rPr>
  </w:style>
  <w:style w:type="paragraph" w:styleId="FootnoteText">
    <w:name w:val="footnote text"/>
    <w:basedOn w:val="Normal"/>
    <w:rsid w:val="00BE5093"/>
    <w:rPr>
      <w:sz w:val="20"/>
      <w:szCs w:val="20"/>
    </w:rPr>
  </w:style>
  <w:style w:type="paragraph" w:customStyle="1" w:styleId="StyleTitle">
    <w:name w:val="Style Title"/>
    <w:basedOn w:val="Heading"/>
    <w:rsid w:val="00BE5093"/>
    <w:rPr>
      <w:sz w:val="24"/>
    </w:rPr>
  </w:style>
  <w:style w:type="paragraph" w:styleId="NormalWeb">
    <w:name w:val="Normal (Web)"/>
    <w:basedOn w:val="Normal"/>
    <w:rsid w:val="00BE5093"/>
    <w:pPr>
      <w:spacing w:before="280" w:after="119"/>
    </w:pPr>
  </w:style>
  <w:style w:type="paragraph" w:customStyle="1" w:styleId="Author">
    <w:name w:val="Author"/>
    <w:basedOn w:val="Normal"/>
    <w:rsid w:val="00BE5093"/>
    <w:pPr>
      <w:jc w:val="center"/>
    </w:pPr>
    <w:rPr>
      <w:b/>
    </w:rPr>
  </w:style>
  <w:style w:type="paragraph" w:customStyle="1" w:styleId="AbstractTitle">
    <w:name w:val="Abstract Title"/>
    <w:basedOn w:val="Normal"/>
    <w:rsid w:val="00BE5093"/>
    <w:pPr>
      <w:jc w:val="center"/>
    </w:pPr>
    <w:rPr>
      <w:b/>
      <w:sz w:val="20"/>
      <w:szCs w:val="20"/>
    </w:rPr>
  </w:style>
  <w:style w:type="paragraph" w:customStyle="1" w:styleId="FrameContents">
    <w:name w:val="Frame Contents"/>
    <w:basedOn w:val="Normal"/>
    <w:rsid w:val="00BE5093"/>
  </w:style>
  <w:style w:type="paragraph" w:customStyle="1" w:styleId="TableContents">
    <w:name w:val="Table Contents"/>
    <w:basedOn w:val="Normal"/>
    <w:rsid w:val="00BE5093"/>
    <w:pPr>
      <w:suppressLineNumbers/>
    </w:pPr>
  </w:style>
  <w:style w:type="paragraph" w:customStyle="1" w:styleId="TableHeading">
    <w:name w:val="Table Heading"/>
    <w:basedOn w:val="TableContents"/>
    <w:rsid w:val="00BE5093"/>
    <w:pPr>
      <w:jc w:val="center"/>
    </w:pPr>
    <w:rPr>
      <w:b/>
      <w:bCs/>
    </w:rPr>
  </w:style>
  <w:style w:type="paragraph" w:customStyle="1" w:styleId="JSKReferenceItem">
    <w:name w:val="JSK Reference Item"/>
    <w:basedOn w:val="Normal"/>
    <w:rsid w:val="00BE5093"/>
    <w:pPr>
      <w:numPr>
        <w:numId w:val="3"/>
      </w:numPr>
      <w:snapToGrid w:val="0"/>
      <w:jc w:val="both"/>
    </w:pPr>
    <w:rPr>
      <w:sz w:val="16"/>
    </w:rPr>
  </w:style>
  <w:style w:type="paragraph" w:customStyle="1" w:styleId="JSKParagraph">
    <w:name w:val="JSK Paragraph"/>
    <w:basedOn w:val="Normal"/>
    <w:rsid w:val="00BE5093"/>
    <w:pPr>
      <w:snapToGrid w:val="0"/>
      <w:ind w:firstLine="216"/>
      <w:jc w:val="both"/>
    </w:pPr>
    <w:rPr>
      <w:sz w:val="20"/>
    </w:rPr>
  </w:style>
  <w:style w:type="paragraph" w:customStyle="1" w:styleId="Gambar">
    <w:name w:val="Gambar"/>
    <w:basedOn w:val="Caption"/>
    <w:rsid w:val="00BE5093"/>
  </w:style>
  <w:style w:type="paragraph" w:customStyle="1" w:styleId="Tabel">
    <w:name w:val="Tabel"/>
    <w:basedOn w:val="Caption"/>
    <w:rsid w:val="00BE5093"/>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rsid w:val="00BE5093"/>
    <w:tblPr>
      <w:tblStyleRowBandSize w:val="1"/>
      <w:tblStyleColBandSize w:val="1"/>
      <w:tblInd w:w="0" w:type="dxa"/>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597E86"/>
    <w:rPr>
      <w:rFonts w:ascii="Tahoma" w:hAnsi="Tahoma" w:cs="Tahoma"/>
      <w:sz w:val="16"/>
      <w:szCs w:val="16"/>
    </w:rPr>
  </w:style>
  <w:style w:type="character" w:customStyle="1" w:styleId="BalloonTextChar">
    <w:name w:val="Balloon Text Char"/>
    <w:basedOn w:val="DefaultParagraphFont"/>
    <w:link w:val="BalloonText"/>
    <w:uiPriority w:val="99"/>
    <w:semiHidden/>
    <w:rsid w:val="00597E86"/>
    <w:rPr>
      <w:rFonts w:ascii="Tahoma" w:hAnsi="Tahoma" w:cs="Tahoma"/>
      <w:sz w:val="16"/>
      <w:szCs w:val="16"/>
      <w:lang w:eastAsia="zh-CN"/>
    </w:rPr>
  </w:style>
  <w:style w:type="table" w:styleId="TableGrid">
    <w:name w:val="Table Grid"/>
    <w:basedOn w:val="TableNormal"/>
    <w:uiPriority w:val="39"/>
    <w:rsid w:val="001331F3"/>
    <w:rPr>
      <w:rFonts w:asciiTheme="minorHAnsi" w:eastAsiaTheme="minorEastAsia" w:hAnsiTheme="minorHAnsi" w:cstheme="minorBidi"/>
      <w:kern w:val="2"/>
      <w:sz w:val="22"/>
      <w:szCs w:val="22"/>
      <w:lang w:val="en-ID" w:eastAsia="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0">
    <w:name w:val="TableGrid"/>
    <w:rsid w:val="001331F3"/>
    <w:rPr>
      <w:rFonts w:asciiTheme="minorHAnsi" w:eastAsiaTheme="minorEastAsia" w:hAnsiTheme="minorHAnsi" w:cstheme="minorBidi"/>
      <w:kern w:val="2"/>
      <w:sz w:val="22"/>
      <w:szCs w:val="22"/>
      <w:lang w:val="en-ID" w:eastAsia="en-ID"/>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180049478">
      <w:bodyDiv w:val="1"/>
      <w:marLeft w:val="0"/>
      <w:marRight w:val="0"/>
      <w:marTop w:val="0"/>
      <w:marBottom w:val="0"/>
      <w:divBdr>
        <w:top w:val="none" w:sz="0" w:space="0" w:color="auto"/>
        <w:left w:val="none" w:sz="0" w:space="0" w:color="auto"/>
        <w:bottom w:val="none" w:sz="0" w:space="0" w:color="auto"/>
        <w:right w:val="none" w:sz="0" w:space="0" w:color="auto"/>
      </w:divBdr>
    </w:div>
    <w:div w:id="202325456">
      <w:bodyDiv w:val="1"/>
      <w:marLeft w:val="0"/>
      <w:marRight w:val="0"/>
      <w:marTop w:val="0"/>
      <w:marBottom w:val="0"/>
      <w:divBdr>
        <w:top w:val="none" w:sz="0" w:space="0" w:color="auto"/>
        <w:left w:val="none" w:sz="0" w:space="0" w:color="auto"/>
        <w:bottom w:val="none" w:sz="0" w:space="0" w:color="auto"/>
        <w:right w:val="none" w:sz="0" w:space="0" w:color="auto"/>
      </w:divBdr>
    </w:div>
    <w:div w:id="228000305">
      <w:bodyDiv w:val="1"/>
      <w:marLeft w:val="0"/>
      <w:marRight w:val="0"/>
      <w:marTop w:val="0"/>
      <w:marBottom w:val="0"/>
      <w:divBdr>
        <w:top w:val="none" w:sz="0" w:space="0" w:color="auto"/>
        <w:left w:val="none" w:sz="0" w:space="0" w:color="auto"/>
        <w:bottom w:val="none" w:sz="0" w:space="0" w:color="auto"/>
        <w:right w:val="none" w:sz="0" w:space="0" w:color="auto"/>
      </w:divBdr>
    </w:div>
    <w:div w:id="234438855">
      <w:bodyDiv w:val="1"/>
      <w:marLeft w:val="0"/>
      <w:marRight w:val="0"/>
      <w:marTop w:val="0"/>
      <w:marBottom w:val="0"/>
      <w:divBdr>
        <w:top w:val="none" w:sz="0" w:space="0" w:color="auto"/>
        <w:left w:val="none" w:sz="0" w:space="0" w:color="auto"/>
        <w:bottom w:val="none" w:sz="0" w:space="0" w:color="auto"/>
        <w:right w:val="none" w:sz="0" w:space="0" w:color="auto"/>
      </w:divBdr>
    </w:div>
    <w:div w:id="290133456">
      <w:bodyDiv w:val="1"/>
      <w:marLeft w:val="0"/>
      <w:marRight w:val="0"/>
      <w:marTop w:val="0"/>
      <w:marBottom w:val="0"/>
      <w:divBdr>
        <w:top w:val="none" w:sz="0" w:space="0" w:color="auto"/>
        <w:left w:val="none" w:sz="0" w:space="0" w:color="auto"/>
        <w:bottom w:val="none" w:sz="0" w:space="0" w:color="auto"/>
        <w:right w:val="none" w:sz="0" w:space="0" w:color="auto"/>
      </w:divBdr>
    </w:div>
    <w:div w:id="745807576">
      <w:bodyDiv w:val="1"/>
      <w:marLeft w:val="0"/>
      <w:marRight w:val="0"/>
      <w:marTop w:val="0"/>
      <w:marBottom w:val="0"/>
      <w:divBdr>
        <w:top w:val="none" w:sz="0" w:space="0" w:color="auto"/>
        <w:left w:val="none" w:sz="0" w:space="0" w:color="auto"/>
        <w:bottom w:val="none" w:sz="0" w:space="0" w:color="auto"/>
        <w:right w:val="none" w:sz="0" w:space="0" w:color="auto"/>
      </w:divBdr>
    </w:div>
    <w:div w:id="770709865">
      <w:bodyDiv w:val="1"/>
      <w:marLeft w:val="0"/>
      <w:marRight w:val="0"/>
      <w:marTop w:val="0"/>
      <w:marBottom w:val="0"/>
      <w:divBdr>
        <w:top w:val="none" w:sz="0" w:space="0" w:color="auto"/>
        <w:left w:val="none" w:sz="0" w:space="0" w:color="auto"/>
        <w:bottom w:val="none" w:sz="0" w:space="0" w:color="auto"/>
        <w:right w:val="none" w:sz="0" w:space="0" w:color="auto"/>
      </w:divBdr>
    </w:div>
    <w:div w:id="896748275">
      <w:bodyDiv w:val="1"/>
      <w:marLeft w:val="0"/>
      <w:marRight w:val="0"/>
      <w:marTop w:val="0"/>
      <w:marBottom w:val="0"/>
      <w:divBdr>
        <w:top w:val="none" w:sz="0" w:space="0" w:color="auto"/>
        <w:left w:val="none" w:sz="0" w:space="0" w:color="auto"/>
        <w:bottom w:val="none" w:sz="0" w:space="0" w:color="auto"/>
        <w:right w:val="none" w:sz="0" w:space="0" w:color="auto"/>
      </w:divBdr>
    </w:div>
    <w:div w:id="959261213">
      <w:bodyDiv w:val="1"/>
      <w:marLeft w:val="0"/>
      <w:marRight w:val="0"/>
      <w:marTop w:val="0"/>
      <w:marBottom w:val="0"/>
      <w:divBdr>
        <w:top w:val="none" w:sz="0" w:space="0" w:color="auto"/>
        <w:left w:val="none" w:sz="0" w:space="0" w:color="auto"/>
        <w:bottom w:val="none" w:sz="0" w:space="0" w:color="auto"/>
        <w:right w:val="none" w:sz="0" w:space="0" w:color="auto"/>
      </w:divBdr>
    </w:div>
    <w:div w:id="995643142">
      <w:bodyDiv w:val="1"/>
      <w:marLeft w:val="0"/>
      <w:marRight w:val="0"/>
      <w:marTop w:val="0"/>
      <w:marBottom w:val="0"/>
      <w:divBdr>
        <w:top w:val="none" w:sz="0" w:space="0" w:color="auto"/>
        <w:left w:val="none" w:sz="0" w:space="0" w:color="auto"/>
        <w:bottom w:val="none" w:sz="0" w:space="0" w:color="auto"/>
        <w:right w:val="none" w:sz="0" w:space="0" w:color="auto"/>
      </w:divBdr>
    </w:div>
    <w:div w:id="1069815418">
      <w:bodyDiv w:val="1"/>
      <w:marLeft w:val="0"/>
      <w:marRight w:val="0"/>
      <w:marTop w:val="0"/>
      <w:marBottom w:val="0"/>
      <w:divBdr>
        <w:top w:val="none" w:sz="0" w:space="0" w:color="auto"/>
        <w:left w:val="none" w:sz="0" w:space="0" w:color="auto"/>
        <w:bottom w:val="none" w:sz="0" w:space="0" w:color="auto"/>
        <w:right w:val="none" w:sz="0" w:space="0" w:color="auto"/>
      </w:divBdr>
    </w:div>
    <w:div w:id="1073090570">
      <w:bodyDiv w:val="1"/>
      <w:marLeft w:val="0"/>
      <w:marRight w:val="0"/>
      <w:marTop w:val="0"/>
      <w:marBottom w:val="0"/>
      <w:divBdr>
        <w:top w:val="none" w:sz="0" w:space="0" w:color="auto"/>
        <w:left w:val="none" w:sz="0" w:space="0" w:color="auto"/>
        <w:bottom w:val="none" w:sz="0" w:space="0" w:color="auto"/>
        <w:right w:val="none" w:sz="0" w:space="0" w:color="auto"/>
      </w:divBdr>
    </w:div>
    <w:div w:id="1079257291">
      <w:bodyDiv w:val="1"/>
      <w:marLeft w:val="0"/>
      <w:marRight w:val="0"/>
      <w:marTop w:val="0"/>
      <w:marBottom w:val="0"/>
      <w:divBdr>
        <w:top w:val="none" w:sz="0" w:space="0" w:color="auto"/>
        <w:left w:val="none" w:sz="0" w:space="0" w:color="auto"/>
        <w:bottom w:val="none" w:sz="0" w:space="0" w:color="auto"/>
        <w:right w:val="none" w:sz="0" w:space="0" w:color="auto"/>
      </w:divBdr>
    </w:div>
    <w:div w:id="1411386879">
      <w:bodyDiv w:val="1"/>
      <w:marLeft w:val="0"/>
      <w:marRight w:val="0"/>
      <w:marTop w:val="0"/>
      <w:marBottom w:val="0"/>
      <w:divBdr>
        <w:top w:val="none" w:sz="0" w:space="0" w:color="auto"/>
        <w:left w:val="none" w:sz="0" w:space="0" w:color="auto"/>
        <w:bottom w:val="none" w:sz="0" w:space="0" w:color="auto"/>
        <w:right w:val="none" w:sz="0" w:space="0" w:color="auto"/>
      </w:divBdr>
    </w:div>
    <w:div w:id="1426422439">
      <w:bodyDiv w:val="1"/>
      <w:marLeft w:val="0"/>
      <w:marRight w:val="0"/>
      <w:marTop w:val="0"/>
      <w:marBottom w:val="0"/>
      <w:divBdr>
        <w:top w:val="none" w:sz="0" w:space="0" w:color="auto"/>
        <w:left w:val="none" w:sz="0" w:space="0" w:color="auto"/>
        <w:bottom w:val="none" w:sz="0" w:space="0" w:color="auto"/>
        <w:right w:val="none" w:sz="0" w:space="0" w:color="auto"/>
      </w:divBdr>
    </w:div>
    <w:div w:id="1480197046">
      <w:bodyDiv w:val="1"/>
      <w:marLeft w:val="0"/>
      <w:marRight w:val="0"/>
      <w:marTop w:val="0"/>
      <w:marBottom w:val="0"/>
      <w:divBdr>
        <w:top w:val="none" w:sz="0" w:space="0" w:color="auto"/>
        <w:left w:val="none" w:sz="0" w:space="0" w:color="auto"/>
        <w:bottom w:val="none" w:sz="0" w:space="0" w:color="auto"/>
        <w:right w:val="none" w:sz="0" w:space="0" w:color="auto"/>
      </w:divBdr>
    </w:div>
    <w:div w:id="1566722985">
      <w:bodyDiv w:val="1"/>
      <w:marLeft w:val="0"/>
      <w:marRight w:val="0"/>
      <w:marTop w:val="0"/>
      <w:marBottom w:val="0"/>
      <w:divBdr>
        <w:top w:val="none" w:sz="0" w:space="0" w:color="auto"/>
        <w:left w:val="none" w:sz="0" w:space="0" w:color="auto"/>
        <w:bottom w:val="none" w:sz="0" w:space="0" w:color="auto"/>
        <w:right w:val="none" w:sz="0" w:space="0" w:color="auto"/>
      </w:divBdr>
    </w:div>
    <w:div w:id="1685280554">
      <w:bodyDiv w:val="1"/>
      <w:marLeft w:val="0"/>
      <w:marRight w:val="0"/>
      <w:marTop w:val="0"/>
      <w:marBottom w:val="0"/>
      <w:divBdr>
        <w:top w:val="none" w:sz="0" w:space="0" w:color="auto"/>
        <w:left w:val="none" w:sz="0" w:space="0" w:color="auto"/>
        <w:bottom w:val="none" w:sz="0" w:space="0" w:color="auto"/>
        <w:right w:val="none" w:sz="0" w:space="0" w:color="auto"/>
      </w:divBdr>
    </w:div>
    <w:div w:id="1713338141">
      <w:bodyDiv w:val="1"/>
      <w:marLeft w:val="0"/>
      <w:marRight w:val="0"/>
      <w:marTop w:val="0"/>
      <w:marBottom w:val="0"/>
      <w:divBdr>
        <w:top w:val="none" w:sz="0" w:space="0" w:color="auto"/>
        <w:left w:val="none" w:sz="0" w:space="0" w:color="auto"/>
        <w:bottom w:val="none" w:sz="0" w:space="0" w:color="auto"/>
        <w:right w:val="none" w:sz="0" w:space="0" w:color="auto"/>
      </w:divBdr>
    </w:div>
    <w:div w:id="17904716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3.png"/><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ikalely@umsida.ac.id"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2E989CE4F9C4B3FB1219A2B3489DBCA"/>
        <w:category>
          <w:name w:val="General"/>
          <w:gallery w:val="placeholder"/>
        </w:category>
        <w:types>
          <w:type w:val="bbPlcHdr"/>
        </w:types>
        <w:behaviors>
          <w:behavior w:val="content"/>
        </w:behaviors>
        <w:guid w:val="{323E7B68-7136-4E55-B45F-BF80EF773F60}"/>
      </w:docPartPr>
      <w:docPartBody>
        <w:p w:rsidR="00552EA1" w:rsidRDefault="00225CEB" w:rsidP="00225CEB">
          <w:pPr>
            <w:pStyle w:val="12E989CE4F9C4B3FB1219A2B3489DBCA"/>
          </w:pPr>
          <w:r>
            <w:rPr>
              <w:rStyle w:val="PlaceholderText"/>
            </w:rPr>
            <w:t>Klik atau ketuk di sini untuk memasukkan teks.</w:t>
          </w:r>
        </w:p>
      </w:docPartBody>
    </w:docPart>
    <w:docPart>
      <w:docPartPr>
        <w:name w:val="78247B30EEAD4B578B491DD3B22C1B12"/>
        <w:category>
          <w:name w:val="General"/>
          <w:gallery w:val="placeholder"/>
        </w:category>
        <w:types>
          <w:type w:val="bbPlcHdr"/>
        </w:types>
        <w:behaviors>
          <w:behavior w:val="content"/>
        </w:behaviors>
        <w:guid w:val="{255665CB-D562-42DC-AF78-83CE0F34DD61}"/>
      </w:docPartPr>
      <w:docPartBody>
        <w:p w:rsidR="00552EA1" w:rsidRDefault="00225CEB" w:rsidP="00225CEB">
          <w:pPr>
            <w:pStyle w:val="78247B30EEAD4B578B491DD3B22C1B12"/>
          </w:pPr>
          <w:r>
            <w:rPr>
              <w:rStyle w:val="PlaceholderText"/>
            </w:rPr>
            <w:t>Klik atau ketuk di sini untuk memasukkan teks.</w:t>
          </w:r>
        </w:p>
      </w:docPartBody>
    </w:docPart>
    <w:docPart>
      <w:docPartPr>
        <w:name w:val="3D876E3F664549ACA3B7CD495AF9DDBC"/>
        <w:category>
          <w:name w:val="General"/>
          <w:gallery w:val="placeholder"/>
        </w:category>
        <w:types>
          <w:type w:val="bbPlcHdr"/>
        </w:types>
        <w:behaviors>
          <w:behavior w:val="content"/>
        </w:behaviors>
        <w:guid w:val="{1A7D8BA3-5E00-4539-BA7B-DD99BA621EB0}"/>
      </w:docPartPr>
      <w:docPartBody>
        <w:p w:rsidR="00552EA1" w:rsidRDefault="00225CEB" w:rsidP="00225CEB">
          <w:pPr>
            <w:pStyle w:val="3D876E3F664549ACA3B7CD495AF9DDBC"/>
          </w:pPr>
          <w:r>
            <w:rPr>
              <w:rStyle w:val="PlaceholderText"/>
            </w:rPr>
            <w:t>Klik atau ketuk di sini untuk memasukkan teks.</w:t>
          </w:r>
        </w:p>
      </w:docPartBody>
    </w:docPart>
    <w:docPart>
      <w:docPartPr>
        <w:name w:val="95BBC91E1BCB4D41B96C3343DCEA1EC1"/>
        <w:category>
          <w:name w:val="General"/>
          <w:gallery w:val="placeholder"/>
        </w:category>
        <w:types>
          <w:type w:val="bbPlcHdr"/>
        </w:types>
        <w:behaviors>
          <w:behavior w:val="content"/>
        </w:behaviors>
        <w:guid w:val="{F7DEF6BD-F458-4AA2-853D-0BF112321B06}"/>
      </w:docPartPr>
      <w:docPartBody>
        <w:p w:rsidR="00552EA1" w:rsidRDefault="00225CEB" w:rsidP="00225CEB">
          <w:pPr>
            <w:pStyle w:val="95BBC91E1BCB4D41B96C3343DCEA1EC1"/>
          </w:pPr>
          <w:r w:rsidRPr="00E31477">
            <w:rPr>
              <w:rStyle w:val="PlaceholderText"/>
            </w:rPr>
            <w:t>Klik atau ketuk di sini untuk memasukkan teks.</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Noto Sans Symbols">
    <w:altName w:val="Times New Roman"/>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FreeSans">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25CEB"/>
    <w:rsid w:val="00225CEB"/>
    <w:rsid w:val="00280A47"/>
    <w:rsid w:val="00446DC1"/>
    <w:rsid w:val="00552EA1"/>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2EA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5CEB"/>
    <w:rPr>
      <w:color w:val="808080"/>
    </w:rPr>
  </w:style>
  <w:style w:type="paragraph" w:customStyle="1" w:styleId="D24B5A9882754D39B9BAA4CAF6A6D4AE">
    <w:name w:val="D24B5A9882754D39B9BAA4CAF6A6D4AE"/>
    <w:rsid w:val="00225CEB"/>
  </w:style>
  <w:style w:type="paragraph" w:customStyle="1" w:styleId="CD662E4E9F5449E297855F608189D270">
    <w:name w:val="CD662E4E9F5449E297855F608189D270"/>
    <w:rsid w:val="00225CEB"/>
  </w:style>
  <w:style w:type="paragraph" w:customStyle="1" w:styleId="12E989CE4F9C4B3FB1219A2B3489DBCA">
    <w:name w:val="12E989CE4F9C4B3FB1219A2B3489DBCA"/>
    <w:rsid w:val="00225CEB"/>
  </w:style>
  <w:style w:type="paragraph" w:customStyle="1" w:styleId="0FA3486A17DA4E4D924AB91177656AAC">
    <w:name w:val="0FA3486A17DA4E4D924AB91177656AAC"/>
    <w:rsid w:val="00225CEB"/>
  </w:style>
  <w:style w:type="paragraph" w:customStyle="1" w:styleId="FA14705FFB9A49E2B4DCF3BD7CFB4DD0">
    <w:name w:val="FA14705FFB9A49E2B4DCF3BD7CFB4DD0"/>
    <w:rsid w:val="00225CEB"/>
  </w:style>
  <w:style w:type="paragraph" w:customStyle="1" w:styleId="78247B30EEAD4B578B491DD3B22C1B12">
    <w:name w:val="78247B30EEAD4B578B491DD3B22C1B12"/>
    <w:rsid w:val="00225CEB"/>
  </w:style>
  <w:style w:type="paragraph" w:customStyle="1" w:styleId="3D876E3F664549ACA3B7CD495AF9DDBC">
    <w:name w:val="3D876E3F664549ACA3B7CD495AF9DDBC"/>
    <w:rsid w:val="00225CEB"/>
  </w:style>
  <w:style w:type="paragraph" w:customStyle="1" w:styleId="95BBC91E1BCB4D41B96C3343DCEA1EC1">
    <w:name w:val="95BBC91E1BCB4D41B96C3343DCEA1EC1"/>
    <w:rsid w:val="00225CE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02F1FF3-F873-4C3A-B08D-4353C937F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13</Pages>
  <Words>7115</Words>
  <Characters>40558</Characters>
  <Application>Microsoft Office Word</Application>
  <DocSecurity>0</DocSecurity>
  <Lines>337</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Izzul</cp:lastModifiedBy>
  <cp:revision>4</cp:revision>
  <dcterms:created xsi:type="dcterms:W3CDTF">2019-01-25T07:21:00Z</dcterms:created>
  <dcterms:modified xsi:type="dcterms:W3CDTF">2024-08-14T04:41:00Z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ies>
</file>