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DF0287" w14:textId="77777777" w:rsidR="005E76D6" w:rsidRPr="005E76D6" w:rsidRDefault="005E76D6" w:rsidP="005E76D6">
      <w:pPr>
        <w:spacing w:line="276" w:lineRule="auto"/>
        <w:ind w:firstLine="360"/>
        <w:rPr>
          <w:rFonts w:cstheme="minorHAnsi"/>
          <w:b/>
          <w:bCs/>
          <w:sz w:val="20"/>
          <w:szCs w:val="20"/>
          <w:lang w:val="en-US"/>
        </w:rPr>
      </w:pPr>
      <w:r w:rsidRPr="005E76D6">
        <w:rPr>
          <w:rFonts w:cstheme="minorHAnsi"/>
          <w:b/>
          <w:bCs/>
          <w:sz w:val="20"/>
          <w:szCs w:val="20"/>
          <w:lang w:val="en-US"/>
        </w:rPr>
        <w:t xml:space="preserve">Hasil </w:t>
      </w:r>
      <w:proofErr w:type="spellStart"/>
      <w:r w:rsidRPr="005E76D6">
        <w:rPr>
          <w:rFonts w:cstheme="minorHAnsi"/>
          <w:b/>
          <w:bCs/>
          <w:sz w:val="20"/>
          <w:szCs w:val="20"/>
          <w:lang w:val="en-US"/>
        </w:rPr>
        <w:t>Analisis</w:t>
      </w:r>
      <w:proofErr w:type="spellEnd"/>
      <w:r w:rsidRPr="005E76D6">
        <w:rPr>
          <w:rFonts w:cstheme="minorHAnsi"/>
          <w:b/>
          <w:bCs/>
          <w:sz w:val="20"/>
          <w:szCs w:val="20"/>
          <w:lang w:val="en-US"/>
        </w:rPr>
        <w:t xml:space="preserve"> JASP </w:t>
      </w:r>
    </w:p>
    <w:p w14:paraId="2070F207" w14:textId="77777777" w:rsidR="005E76D6" w:rsidRPr="00123545" w:rsidRDefault="005E76D6" w:rsidP="005E76D6">
      <w:pPr>
        <w:pStyle w:val="ListParagraph"/>
        <w:numPr>
          <w:ilvl w:val="0"/>
          <w:numId w:val="2"/>
        </w:numPr>
        <w:spacing w:line="276" w:lineRule="auto"/>
        <w:rPr>
          <w:rFonts w:cstheme="minorHAnsi"/>
          <w:b/>
          <w:bCs/>
          <w:iCs/>
          <w:sz w:val="20"/>
          <w:szCs w:val="20"/>
          <w:lang w:val="en-US"/>
        </w:rPr>
      </w:pPr>
      <w:r w:rsidRPr="00123545">
        <w:rPr>
          <w:b/>
          <w:bCs/>
          <w:iCs/>
          <w:color w:val="000000"/>
          <w:sz w:val="20"/>
          <w:szCs w:val="20"/>
        </w:rPr>
        <w:t>Uji normalitas</w:t>
      </w:r>
    </w:p>
    <w:p w14:paraId="2801A91F" w14:textId="77777777" w:rsidR="005E76D6" w:rsidRDefault="005E76D6" w:rsidP="005E76D6">
      <w:pPr>
        <w:pBdr>
          <w:top w:val="nil"/>
          <w:left w:val="nil"/>
          <w:bottom w:val="nil"/>
          <w:right w:val="nil"/>
          <w:between w:val="nil"/>
        </w:pBdr>
        <w:ind w:firstLine="288"/>
        <w:jc w:val="both"/>
        <w:rPr>
          <w:color w:val="000000"/>
          <w:sz w:val="20"/>
          <w:szCs w:val="20"/>
        </w:rPr>
      </w:pPr>
      <w:r w:rsidRPr="00891AEE">
        <w:rPr>
          <w:color w:val="000000"/>
          <w:sz w:val="20"/>
          <w:szCs w:val="20"/>
        </w:rPr>
        <w:t>Untuk menentukan data yang diperoleh berasal dari populasi yang mengikuti distribusi normal atau tidak maka perlu uji normalitas. Dalam uji normalitas dilakukan dengan menggunakan korelasi product moment, dengan aturan bahwa nilai signifikansi lebih dari 0,05 maka data dianggap normal dan sebaliknya, nilai signifikansi kurang dari 0,05, maka distribusi dianggap tidak normal, dengan menggunakan uji Shapiro-Wilk untuk Normalitas Bivariat</w:t>
      </w:r>
      <w:r>
        <w:rPr>
          <w:color w:val="000000"/>
          <w:sz w:val="20"/>
          <w:szCs w:val="20"/>
        </w:rPr>
        <w:t xml:space="preserve">. </w:t>
      </w:r>
    </w:p>
    <w:p w14:paraId="62C1D50A" w14:textId="77777777" w:rsidR="005E76D6" w:rsidRDefault="005E76D6" w:rsidP="005E76D6">
      <w:pPr>
        <w:pBdr>
          <w:top w:val="nil"/>
          <w:left w:val="nil"/>
          <w:bottom w:val="nil"/>
          <w:right w:val="nil"/>
          <w:between w:val="nil"/>
        </w:pBdr>
        <w:ind w:firstLine="288"/>
        <w:jc w:val="both"/>
        <w:rPr>
          <w:color w:val="000000"/>
          <w:sz w:val="20"/>
          <w:szCs w:val="20"/>
        </w:rPr>
      </w:pPr>
    </w:p>
    <w:p w14:paraId="4116C51D" w14:textId="77777777" w:rsidR="005E76D6" w:rsidRPr="00123545" w:rsidRDefault="005E76D6" w:rsidP="005E76D6">
      <w:pPr>
        <w:pStyle w:val="Caption"/>
        <w:spacing w:after="0"/>
        <w:jc w:val="center"/>
        <w:rPr>
          <w:rFonts w:cs="Times New Roman"/>
          <w:b/>
          <w:bCs/>
          <w:i w:val="0"/>
          <w:iCs w:val="0"/>
          <w:color w:val="000000"/>
          <w:sz w:val="16"/>
          <w:szCs w:val="18"/>
        </w:rPr>
      </w:pPr>
      <w:r w:rsidRPr="00123545">
        <w:rPr>
          <w:rFonts w:cs="Times New Roman"/>
          <w:b/>
          <w:bCs/>
          <w:i w:val="0"/>
          <w:iCs w:val="0"/>
          <w:sz w:val="20"/>
          <w:szCs w:val="22"/>
        </w:rPr>
        <w:t xml:space="preserve">Tabel </w:t>
      </w:r>
      <w:r w:rsidRPr="00123545">
        <w:rPr>
          <w:rFonts w:cs="Times New Roman"/>
          <w:b/>
          <w:bCs/>
          <w:i w:val="0"/>
          <w:iCs w:val="0"/>
          <w:sz w:val="20"/>
          <w:szCs w:val="22"/>
        </w:rPr>
        <w:fldChar w:fldCharType="begin"/>
      </w:r>
      <w:r w:rsidRPr="00123545">
        <w:rPr>
          <w:rFonts w:cs="Times New Roman"/>
          <w:b/>
          <w:bCs/>
          <w:i w:val="0"/>
          <w:iCs w:val="0"/>
          <w:sz w:val="20"/>
          <w:szCs w:val="22"/>
        </w:rPr>
        <w:instrText xml:space="preserve"> SEQ Table \* ARABIC </w:instrText>
      </w:r>
      <w:r w:rsidRPr="00123545">
        <w:rPr>
          <w:rFonts w:cs="Times New Roman"/>
          <w:b/>
          <w:bCs/>
          <w:i w:val="0"/>
          <w:iCs w:val="0"/>
          <w:sz w:val="20"/>
          <w:szCs w:val="22"/>
        </w:rPr>
        <w:fldChar w:fldCharType="separate"/>
      </w:r>
      <w:r w:rsidRPr="00123545">
        <w:rPr>
          <w:rFonts w:cs="Times New Roman"/>
          <w:b/>
          <w:bCs/>
          <w:i w:val="0"/>
          <w:iCs w:val="0"/>
          <w:noProof/>
          <w:sz w:val="20"/>
          <w:szCs w:val="22"/>
        </w:rPr>
        <w:t>1</w:t>
      </w:r>
      <w:r w:rsidRPr="00123545">
        <w:rPr>
          <w:rFonts w:cs="Times New Roman"/>
          <w:b/>
          <w:bCs/>
          <w:i w:val="0"/>
          <w:iCs w:val="0"/>
          <w:sz w:val="20"/>
          <w:szCs w:val="22"/>
        </w:rPr>
        <w:fldChar w:fldCharType="end"/>
      </w:r>
      <w:r w:rsidRPr="00123545">
        <w:rPr>
          <w:rFonts w:cs="Times New Roman"/>
          <w:b/>
          <w:bCs/>
          <w:i w:val="0"/>
          <w:iCs w:val="0"/>
          <w:sz w:val="20"/>
          <w:szCs w:val="22"/>
        </w:rPr>
        <w:t>. Hasil Uji Normalitas</w:t>
      </w:r>
    </w:p>
    <w:tbl>
      <w:tblPr>
        <w:tblpPr w:leftFromText="180" w:rightFromText="180" w:vertAnchor="text" w:horzAnchor="page" w:tblpX="4063" w:tblpY="155"/>
        <w:tblW w:w="4674" w:type="dxa"/>
        <w:tblLook w:val="04A0" w:firstRow="1" w:lastRow="0" w:firstColumn="1" w:lastColumn="0" w:noHBand="0" w:noVBand="1"/>
      </w:tblPr>
      <w:tblGrid>
        <w:gridCol w:w="1296"/>
        <w:gridCol w:w="296"/>
        <w:gridCol w:w="1216"/>
        <w:gridCol w:w="1110"/>
        <w:gridCol w:w="756"/>
      </w:tblGrid>
      <w:tr w:rsidR="005E76D6" w:rsidRPr="002E532F" w14:paraId="60AE075A" w14:textId="77777777" w:rsidTr="0010686B">
        <w:trPr>
          <w:trHeight w:val="168"/>
        </w:trPr>
        <w:tc>
          <w:tcPr>
            <w:tcW w:w="4674" w:type="dxa"/>
            <w:gridSpan w:val="5"/>
            <w:tcBorders>
              <w:top w:val="single" w:sz="4" w:space="0" w:color="auto"/>
              <w:left w:val="nil"/>
              <w:bottom w:val="single" w:sz="8" w:space="0" w:color="000000"/>
              <w:right w:val="nil"/>
            </w:tcBorders>
            <w:shd w:val="clear" w:color="auto" w:fill="auto"/>
            <w:vAlign w:val="center"/>
            <w:hideMark/>
          </w:tcPr>
          <w:p w14:paraId="2194B344" w14:textId="77777777" w:rsidR="005E76D6" w:rsidRPr="002E532F" w:rsidRDefault="005E76D6" w:rsidP="0010686B">
            <w:pPr>
              <w:rPr>
                <w:b/>
                <w:bCs/>
                <w:color w:val="000000"/>
              </w:rPr>
            </w:pPr>
            <w:r w:rsidRPr="002E532F">
              <w:rPr>
                <w:b/>
                <w:bCs/>
                <w:color w:val="000000"/>
              </w:rPr>
              <w:t>Shapiro-Wilk Test for Bivariate Normality</w:t>
            </w:r>
          </w:p>
        </w:tc>
      </w:tr>
      <w:tr w:rsidR="005E76D6" w:rsidRPr="002E532F" w14:paraId="79C0B0E1" w14:textId="77777777" w:rsidTr="0010686B">
        <w:trPr>
          <w:trHeight w:val="168"/>
        </w:trPr>
        <w:tc>
          <w:tcPr>
            <w:tcW w:w="4674" w:type="dxa"/>
            <w:gridSpan w:val="5"/>
            <w:tcBorders>
              <w:top w:val="nil"/>
              <w:left w:val="nil"/>
              <w:bottom w:val="single" w:sz="8" w:space="0" w:color="000000"/>
              <w:right w:val="nil"/>
            </w:tcBorders>
            <w:shd w:val="clear" w:color="auto" w:fill="auto"/>
            <w:vAlign w:val="center"/>
          </w:tcPr>
          <w:p w14:paraId="0F5CE4C2" w14:textId="77777777" w:rsidR="005E76D6" w:rsidRPr="002E532F" w:rsidRDefault="005E76D6" w:rsidP="0010686B">
            <w:pPr>
              <w:rPr>
                <w:b/>
                <w:bCs/>
                <w:color w:val="000000"/>
              </w:rPr>
            </w:pPr>
          </w:p>
        </w:tc>
      </w:tr>
      <w:tr w:rsidR="005E76D6" w:rsidRPr="002E532F" w14:paraId="1A9C1049" w14:textId="77777777" w:rsidTr="0010686B">
        <w:trPr>
          <w:trHeight w:val="330"/>
        </w:trPr>
        <w:tc>
          <w:tcPr>
            <w:tcW w:w="1296" w:type="dxa"/>
            <w:tcBorders>
              <w:top w:val="nil"/>
              <w:left w:val="nil"/>
              <w:bottom w:val="single" w:sz="8" w:space="0" w:color="000000"/>
              <w:right w:val="nil"/>
            </w:tcBorders>
            <w:shd w:val="clear" w:color="auto" w:fill="auto"/>
            <w:vAlign w:val="center"/>
            <w:hideMark/>
          </w:tcPr>
          <w:p w14:paraId="704E8FBC" w14:textId="77777777" w:rsidR="005E76D6" w:rsidRPr="002E532F" w:rsidRDefault="005E76D6" w:rsidP="0010686B">
            <w:pPr>
              <w:rPr>
                <w:b/>
                <w:bCs/>
                <w:color w:val="000000"/>
              </w:rPr>
            </w:pPr>
            <w:r w:rsidRPr="002E532F">
              <w:rPr>
                <w:b/>
                <w:bCs/>
                <w:color w:val="000000"/>
              </w:rPr>
              <w:t> </w:t>
            </w:r>
          </w:p>
        </w:tc>
        <w:tc>
          <w:tcPr>
            <w:tcW w:w="296" w:type="dxa"/>
            <w:tcBorders>
              <w:top w:val="nil"/>
              <w:left w:val="nil"/>
              <w:bottom w:val="single" w:sz="8" w:space="0" w:color="000000"/>
              <w:right w:val="nil"/>
            </w:tcBorders>
            <w:shd w:val="clear" w:color="auto" w:fill="auto"/>
            <w:vAlign w:val="center"/>
            <w:hideMark/>
          </w:tcPr>
          <w:p w14:paraId="10ED2400" w14:textId="77777777" w:rsidR="005E76D6" w:rsidRPr="002E532F" w:rsidRDefault="005E76D6" w:rsidP="0010686B">
            <w:pPr>
              <w:rPr>
                <w:b/>
                <w:bCs/>
                <w:color w:val="000000"/>
              </w:rPr>
            </w:pPr>
            <w:r w:rsidRPr="002E532F">
              <w:rPr>
                <w:b/>
                <w:bCs/>
                <w:color w:val="000000"/>
              </w:rPr>
              <w:t> </w:t>
            </w:r>
          </w:p>
        </w:tc>
        <w:tc>
          <w:tcPr>
            <w:tcW w:w="1216" w:type="dxa"/>
            <w:tcBorders>
              <w:top w:val="nil"/>
              <w:left w:val="nil"/>
              <w:bottom w:val="single" w:sz="8" w:space="0" w:color="000000"/>
              <w:right w:val="nil"/>
            </w:tcBorders>
            <w:shd w:val="clear" w:color="auto" w:fill="auto"/>
            <w:vAlign w:val="center"/>
            <w:hideMark/>
          </w:tcPr>
          <w:p w14:paraId="748ABB7C" w14:textId="77777777" w:rsidR="005E76D6" w:rsidRPr="002E532F" w:rsidRDefault="005E76D6" w:rsidP="0010686B">
            <w:pPr>
              <w:rPr>
                <w:b/>
                <w:bCs/>
                <w:color w:val="000000"/>
              </w:rPr>
            </w:pPr>
            <w:r w:rsidRPr="002E532F">
              <w:rPr>
                <w:b/>
                <w:bCs/>
                <w:color w:val="000000"/>
              </w:rPr>
              <w:t> </w:t>
            </w:r>
          </w:p>
        </w:tc>
        <w:tc>
          <w:tcPr>
            <w:tcW w:w="1110" w:type="dxa"/>
            <w:tcBorders>
              <w:top w:val="nil"/>
              <w:left w:val="nil"/>
              <w:bottom w:val="single" w:sz="8" w:space="0" w:color="000000"/>
              <w:right w:val="nil"/>
            </w:tcBorders>
            <w:shd w:val="clear" w:color="auto" w:fill="auto"/>
            <w:vAlign w:val="center"/>
            <w:hideMark/>
          </w:tcPr>
          <w:p w14:paraId="094779B0" w14:textId="77777777" w:rsidR="005E76D6" w:rsidRPr="002E532F" w:rsidRDefault="005E76D6" w:rsidP="0010686B">
            <w:pPr>
              <w:rPr>
                <w:b/>
                <w:bCs/>
                <w:color w:val="000000"/>
              </w:rPr>
            </w:pPr>
            <w:r w:rsidRPr="002E532F">
              <w:rPr>
                <w:b/>
                <w:bCs/>
                <w:color w:val="000000"/>
              </w:rPr>
              <w:t>Shapiro-Wilk</w:t>
            </w:r>
          </w:p>
        </w:tc>
        <w:tc>
          <w:tcPr>
            <w:tcW w:w="756" w:type="dxa"/>
            <w:tcBorders>
              <w:top w:val="nil"/>
              <w:left w:val="nil"/>
              <w:bottom w:val="single" w:sz="8" w:space="0" w:color="000000"/>
              <w:right w:val="nil"/>
            </w:tcBorders>
            <w:shd w:val="clear" w:color="auto" w:fill="auto"/>
            <w:vAlign w:val="center"/>
            <w:hideMark/>
          </w:tcPr>
          <w:p w14:paraId="16140F4F" w14:textId="77777777" w:rsidR="005E76D6" w:rsidRPr="002E532F" w:rsidRDefault="005E76D6" w:rsidP="0010686B">
            <w:pPr>
              <w:rPr>
                <w:b/>
                <w:bCs/>
                <w:color w:val="000000"/>
              </w:rPr>
            </w:pPr>
            <w:r w:rsidRPr="002E532F">
              <w:rPr>
                <w:b/>
                <w:bCs/>
                <w:color w:val="000000"/>
              </w:rPr>
              <w:t>p</w:t>
            </w:r>
          </w:p>
        </w:tc>
      </w:tr>
      <w:tr w:rsidR="005E76D6" w:rsidRPr="002E532F" w14:paraId="04423154" w14:textId="77777777" w:rsidTr="0010686B">
        <w:trPr>
          <w:trHeight w:val="485"/>
        </w:trPr>
        <w:tc>
          <w:tcPr>
            <w:tcW w:w="1296" w:type="dxa"/>
            <w:tcBorders>
              <w:top w:val="nil"/>
              <w:left w:val="nil"/>
              <w:bottom w:val="nil"/>
              <w:right w:val="nil"/>
            </w:tcBorders>
            <w:shd w:val="clear" w:color="auto" w:fill="auto"/>
            <w:vAlign w:val="center"/>
            <w:hideMark/>
          </w:tcPr>
          <w:p w14:paraId="7029780A" w14:textId="77777777" w:rsidR="005E76D6" w:rsidRPr="002E532F" w:rsidRDefault="005E76D6" w:rsidP="0010686B">
            <w:pPr>
              <w:rPr>
                <w:color w:val="000000"/>
              </w:rPr>
            </w:pPr>
            <w:r w:rsidRPr="002E532F">
              <w:rPr>
                <w:color w:val="000000"/>
              </w:rPr>
              <w:t>Motivasi Berprestasi</w:t>
            </w:r>
          </w:p>
        </w:tc>
        <w:tc>
          <w:tcPr>
            <w:tcW w:w="296" w:type="dxa"/>
            <w:tcBorders>
              <w:top w:val="nil"/>
              <w:left w:val="nil"/>
              <w:bottom w:val="nil"/>
              <w:right w:val="nil"/>
            </w:tcBorders>
            <w:shd w:val="clear" w:color="auto" w:fill="auto"/>
            <w:vAlign w:val="center"/>
            <w:hideMark/>
          </w:tcPr>
          <w:p w14:paraId="01EF0854" w14:textId="77777777" w:rsidR="005E76D6" w:rsidRPr="002E532F" w:rsidRDefault="005E76D6" w:rsidP="0010686B">
            <w:pPr>
              <w:rPr>
                <w:color w:val="000000"/>
              </w:rPr>
            </w:pPr>
            <w:r w:rsidRPr="002E532F">
              <w:rPr>
                <w:color w:val="000000"/>
              </w:rPr>
              <w:t>-</w:t>
            </w:r>
          </w:p>
        </w:tc>
        <w:tc>
          <w:tcPr>
            <w:tcW w:w="1216" w:type="dxa"/>
            <w:tcBorders>
              <w:top w:val="nil"/>
              <w:left w:val="nil"/>
              <w:bottom w:val="nil"/>
              <w:right w:val="nil"/>
            </w:tcBorders>
            <w:shd w:val="clear" w:color="auto" w:fill="auto"/>
            <w:vAlign w:val="center"/>
            <w:hideMark/>
          </w:tcPr>
          <w:p w14:paraId="4A1F392F" w14:textId="77777777" w:rsidR="005E76D6" w:rsidRPr="002E532F" w:rsidRDefault="005E76D6" w:rsidP="0010686B">
            <w:pPr>
              <w:rPr>
                <w:color w:val="000000"/>
              </w:rPr>
            </w:pPr>
            <w:r w:rsidRPr="0046739D">
              <w:rPr>
                <w:i/>
                <w:color w:val="000000"/>
              </w:rPr>
              <w:t xml:space="preserve">Flow </w:t>
            </w:r>
            <w:r w:rsidRPr="0046739D">
              <w:rPr>
                <w:color w:val="000000"/>
              </w:rPr>
              <w:t>akademik</w:t>
            </w:r>
          </w:p>
        </w:tc>
        <w:tc>
          <w:tcPr>
            <w:tcW w:w="1110" w:type="dxa"/>
            <w:tcBorders>
              <w:top w:val="nil"/>
              <w:left w:val="nil"/>
              <w:bottom w:val="nil"/>
              <w:right w:val="nil"/>
            </w:tcBorders>
            <w:shd w:val="clear" w:color="auto" w:fill="auto"/>
            <w:vAlign w:val="center"/>
            <w:hideMark/>
          </w:tcPr>
          <w:p w14:paraId="2AE1A289" w14:textId="77777777" w:rsidR="005E76D6" w:rsidRPr="002E532F" w:rsidRDefault="005E76D6" w:rsidP="0010686B">
            <w:pPr>
              <w:rPr>
                <w:color w:val="000000"/>
              </w:rPr>
            </w:pPr>
            <w:r w:rsidRPr="002E532F">
              <w:rPr>
                <w:color w:val="000000"/>
              </w:rPr>
              <w:t>0.980</w:t>
            </w:r>
          </w:p>
        </w:tc>
        <w:tc>
          <w:tcPr>
            <w:tcW w:w="756" w:type="dxa"/>
            <w:tcBorders>
              <w:top w:val="nil"/>
              <w:left w:val="nil"/>
              <w:bottom w:val="nil"/>
              <w:right w:val="nil"/>
            </w:tcBorders>
            <w:shd w:val="clear" w:color="auto" w:fill="auto"/>
            <w:vAlign w:val="center"/>
            <w:hideMark/>
          </w:tcPr>
          <w:p w14:paraId="2D251FD0" w14:textId="77777777" w:rsidR="005E76D6" w:rsidRPr="002E532F" w:rsidRDefault="005E76D6" w:rsidP="0010686B">
            <w:pPr>
              <w:rPr>
                <w:color w:val="000000"/>
              </w:rPr>
            </w:pPr>
            <w:r w:rsidRPr="002E532F">
              <w:rPr>
                <w:color w:val="000000"/>
              </w:rPr>
              <w:t>0.005</w:t>
            </w:r>
          </w:p>
        </w:tc>
      </w:tr>
      <w:tr w:rsidR="005E76D6" w:rsidRPr="002E532F" w14:paraId="78750A6B" w14:textId="77777777" w:rsidTr="0010686B">
        <w:trPr>
          <w:trHeight w:val="35"/>
        </w:trPr>
        <w:tc>
          <w:tcPr>
            <w:tcW w:w="4674" w:type="dxa"/>
            <w:gridSpan w:val="5"/>
            <w:tcBorders>
              <w:top w:val="nil"/>
              <w:left w:val="nil"/>
              <w:bottom w:val="single" w:sz="8" w:space="0" w:color="000000"/>
              <w:right w:val="nil"/>
            </w:tcBorders>
            <w:shd w:val="clear" w:color="auto" w:fill="auto"/>
            <w:vAlign w:val="center"/>
            <w:hideMark/>
          </w:tcPr>
          <w:p w14:paraId="7A6B10EB" w14:textId="77777777" w:rsidR="005E76D6" w:rsidRPr="002E532F" w:rsidRDefault="005E76D6" w:rsidP="0010686B">
            <w:pPr>
              <w:rPr>
                <w:color w:val="000000"/>
              </w:rPr>
            </w:pPr>
            <w:r w:rsidRPr="002E532F">
              <w:rPr>
                <w:color w:val="000000"/>
              </w:rPr>
              <w:t> </w:t>
            </w:r>
          </w:p>
        </w:tc>
      </w:tr>
    </w:tbl>
    <w:p w14:paraId="3D1D9F3C" w14:textId="77777777" w:rsidR="005E76D6" w:rsidRDefault="005E76D6" w:rsidP="005E76D6">
      <w:pPr>
        <w:pBdr>
          <w:top w:val="nil"/>
          <w:left w:val="nil"/>
          <w:bottom w:val="nil"/>
          <w:right w:val="nil"/>
          <w:between w:val="nil"/>
        </w:pBdr>
        <w:ind w:firstLine="288"/>
        <w:jc w:val="center"/>
        <w:rPr>
          <w:color w:val="000000"/>
          <w:sz w:val="20"/>
          <w:szCs w:val="20"/>
        </w:rPr>
      </w:pPr>
    </w:p>
    <w:p w14:paraId="34729E15" w14:textId="77777777" w:rsidR="005E76D6" w:rsidRDefault="005E76D6" w:rsidP="005E76D6">
      <w:pPr>
        <w:pBdr>
          <w:top w:val="nil"/>
          <w:left w:val="nil"/>
          <w:bottom w:val="nil"/>
          <w:right w:val="nil"/>
          <w:between w:val="nil"/>
        </w:pBdr>
        <w:ind w:firstLine="288"/>
        <w:jc w:val="both"/>
        <w:rPr>
          <w:color w:val="000000"/>
          <w:sz w:val="20"/>
          <w:szCs w:val="20"/>
        </w:rPr>
      </w:pPr>
    </w:p>
    <w:p w14:paraId="2C276AF0" w14:textId="77777777" w:rsidR="005E76D6" w:rsidRDefault="005E76D6" w:rsidP="005E76D6">
      <w:pPr>
        <w:pBdr>
          <w:top w:val="nil"/>
          <w:left w:val="nil"/>
          <w:bottom w:val="nil"/>
          <w:right w:val="nil"/>
          <w:between w:val="nil"/>
        </w:pBdr>
        <w:ind w:firstLine="288"/>
        <w:jc w:val="both"/>
        <w:rPr>
          <w:color w:val="000000"/>
          <w:sz w:val="20"/>
          <w:szCs w:val="20"/>
        </w:rPr>
      </w:pPr>
    </w:p>
    <w:p w14:paraId="7F3E54D2" w14:textId="77777777" w:rsidR="005E76D6" w:rsidRDefault="005E76D6" w:rsidP="005E76D6">
      <w:pPr>
        <w:pBdr>
          <w:top w:val="nil"/>
          <w:left w:val="nil"/>
          <w:bottom w:val="nil"/>
          <w:right w:val="nil"/>
          <w:between w:val="nil"/>
        </w:pBdr>
        <w:ind w:firstLine="288"/>
        <w:jc w:val="both"/>
        <w:rPr>
          <w:color w:val="000000"/>
          <w:sz w:val="20"/>
          <w:szCs w:val="20"/>
        </w:rPr>
      </w:pPr>
    </w:p>
    <w:p w14:paraId="1549021D" w14:textId="77777777" w:rsidR="005E76D6" w:rsidRDefault="005E76D6" w:rsidP="005E76D6">
      <w:pPr>
        <w:pBdr>
          <w:top w:val="nil"/>
          <w:left w:val="nil"/>
          <w:bottom w:val="nil"/>
          <w:right w:val="nil"/>
          <w:between w:val="nil"/>
        </w:pBdr>
        <w:ind w:firstLine="288"/>
        <w:jc w:val="both"/>
        <w:rPr>
          <w:color w:val="000000"/>
          <w:sz w:val="20"/>
          <w:szCs w:val="20"/>
        </w:rPr>
      </w:pPr>
    </w:p>
    <w:p w14:paraId="2CE2D5E6" w14:textId="77777777" w:rsidR="005E76D6" w:rsidRDefault="005E76D6" w:rsidP="005E76D6">
      <w:pPr>
        <w:pBdr>
          <w:top w:val="nil"/>
          <w:left w:val="nil"/>
          <w:bottom w:val="nil"/>
          <w:right w:val="nil"/>
          <w:between w:val="nil"/>
        </w:pBdr>
        <w:ind w:firstLine="288"/>
        <w:jc w:val="both"/>
        <w:rPr>
          <w:color w:val="000000"/>
          <w:sz w:val="20"/>
          <w:szCs w:val="20"/>
        </w:rPr>
      </w:pPr>
    </w:p>
    <w:p w14:paraId="15349759" w14:textId="77777777" w:rsidR="005E76D6" w:rsidRDefault="005E76D6" w:rsidP="005E76D6">
      <w:pPr>
        <w:pBdr>
          <w:top w:val="nil"/>
          <w:left w:val="nil"/>
          <w:bottom w:val="nil"/>
          <w:right w:val="nil"/>
          <w:between w:val="nil"/>
        </w:pBdr>
        <w:ind w:firstLine="288"/>
        <w:jc w:val="both"/>
        <w:rPr>
          <w:color w:val="000000"/>
          <w:sz w:val="20"/>
          <w:szCs w:val="20"/>
        </w:rPr>
      </w:pPr>
    </w:p>
    <w:p w14:paraId="1D9EED0D" w14:textId="77777777" w:rsidR="005E76D6" w:rsidRDefault="005E76D6" w:rsidP="005E76D6">
      <w:pPr>
        <w:pBdr>
          <w:top w:val="nil"/>
          <w:left w:val="nil"/>
          <w:bottom w:val="nil"/>
          <w:right w:val="nil"/>
          <w:between w:val="nil"/>
        </w:pBdr>
        <w:ind w:firstLine="288"/>
        <w:jc w:val="both"/>
        <w:rPr>
          <w:color w:val="000000"/>
          <w:sz w:val="20"/>
          <w:szCs w:val="20"/>
        </w:rPr>
      </w:pPr>
    </w:p>
    <w:p w14:paraId="74F8DCA4" w14:textId="77777777" w:rsidR="005E76D6" w:rsidRDefault="005E76D6" w:rsidP="005E76D6">
      <w:pPr>
        <w:pBdr>
          <w:top w:val="nil"/>
          <w:left w:val="nil"/>
          <w:bottom w:val="nil"/>
          <w:right w:val="nil"/>
          <w:between w:val="nil"/>
        </w:pBdr>
        <w:ind w:firstLine="288"/>
        <w:jc w:val="both"/>
        <w:rPr>
          <w:color w:val="000000"/>
          <w:sz w:val="20"/>
          <w:szCs w:val="20"/>
        </w:rPr>
      </w:pPr>
    </w:p>
    <w:p w14:paraId="0A358661" w14:textId="77777777" w:rsidR="005E76D6" w:rsidRDefault="005E76D6" w:rsidP="005E76D6">
      <w:pPr>
        <w:pBdr>
          <w:top w:val="nil"/>
          <w:left w:val="nil"/>
          <w:bottom w:val="nil"/>
          <w:right w:val="nil"/>
          <w:between w:val="nil"/>
        </w:pBdr>
        <w:ind w:firstLine="288"/>
        <w:jc w:val="both"/>
        <w:rPr>
          <w:color w:val="000000"/>
          <w:sz w:val="20"/>
          <w:szCs w:val="20"/>
        </w:rPr>
      </w:pPr>
    </w:p>
    <w:p w14:paraId="4270E206" w14:textId="77777777" w:rsidR="005E76D6" w:rsidRDefault="005E76D6" w:rsidP="005E76D6">
      <w:pPr>
        <w:pBdr>
          <w:top w:val="nil"/>
          <w:left w:val="nil"/>
          <w:bottom w:val="nil"/>
          <w:right w:val="nil"/>
          <w:between w:val="nil"/>
        </w:pBdr>
        <w:ind w:firstLine="288"/>
        <w:jc w:val="both"/>
        <w:rPr>
          <w:color w:val="000000"/>
          <w:sz w:val="20"/>
          <w:szCs w:val="20"/>
        </w:rPr>
      </w:pPr>
    </w:p>
    <w:p w14:paraId="7F9BCF27" w14:textId="77777777" w:rsidR="005E76D6" w:rsidRDefault="005E76D6" w:rsidP="005E76D6">
      <w:pPr>
        <w:pBdr>
          <w:top w:val="nil"/>
          <w:left w:val="nil"/>
          <w:bottom w:val="nil"/>
          <w:right w:val="nil"/>
          <w:between w:val="nil"/>
        </w:pBdr>
        <w:ind w:firstLine="288"/>
        <w:jc w:val="both"/>
        <w:rPr>
          <w:color w:val="000000"/>
          <w:sz w:val="20"/>
          <w:szCs w:val="20"/>
        </w:rPr>
      </w:pPr>
      <w:r w:rsidRPr="00A855DD">
        <w:rPr>
          <w:color w:val="000000"/>
          <w:sz w:val="20"/>
          <w:szCs w:val="20"/>
        </w:rPr>
        <w:t>Berdasarkan tabel 1 menunjukkan bahwa nilai Shapiro-wilk = 0.980 dengan Sig = 0,005 &gt; ,.05, artinya data berdistribusi normal</w:t>
      </w:r>
      <w:r>
        <w:rPr>
          <w:color w:val="000000"/>
          <w:sz w:val="20"/>
          <w:szCs w:val="20"/>
        </w:rPr>
        <w:t>.</w:t>
      </w:r>
    </w:p>
    <w:p w14:paraId="1766F63E" w14:textId="77777777" w:rsidR="005E76D6" w:rsidRPr="00123545" w:rsidRDefault="005E76D6" w:rsidP="005E76D6">
      <w:pPr>
        <w:pStyle w:val="ListParagraph"/>
        <w:numPr>
          <w:ilvl w:val="0"/>
          <w:numId w:val="2"/>
        </w:numPr>
        <w:pBdr>
          <w:top w:val="nil"/>
          <w:left w:val="nil"/>
          <w:bottom w:val="nil"/>
          <w:right w:val="nil"/>
          <w:between w:val="nil"/>
        </w:pBdr>
        <w:jc w:val="both"/>
        <w:rPr>
          <w:b/>
          <w:bCs/>
          <w:iCs/>
          <w:color w:val="000000"/>
          <w:sz w:val="20"/>
          <w:szCs w:val="20"/>
        </w:rPr>
      </w:pPr>
      <w:r w:rsidRPr="00123545">
        <w:rPr>
          <w:b/>
          <w:bCs/>
          <w:iCs/>
          <w:color w:val="000000"/>
          <w:sz w:val="20"/>
          <w:szCs w:val="20"/>
        </w:rPr>
        <w:t>Uji Linearitas</w:t>
      </w:r>
    </w:p>
    <w:p w14:paraId="640171BA" w14:textId="77777777" w:rsidR="005E76D6" w:rsidRDefault="005E76D6" w:rsidP="005E76D6">
      <w:pPr>
        <w:pBdr>
          <w:top w:val="nil"/>
          <w:left w:val="nil"/>
          <w:bottom w:val="nil"/>
          <w:right w:val="nil"/>
          <w:between w:val="nil"/>
        </w:pBdr>
        <w:ind w:firstLine="288"/>
        <w:jc w:val="both"/>
        <w:rPr>
          <w:color w:val="000000"/>
          <w:sz w:val="20"/>
          <w:szCs w:val="20"/>
        </w:rPr>
      </w:pPr>
      <w:r w:rsidRPr="005F4BFF">
        <w:rPr>
          <w:color w:val="000000"/>
          <w:sz w:val="20"/>
          <w:szCs w:val="20"/>
        </w:rPr>
        <w:t>Uji linearitas digunakan untuk mengetahui apakah variabel X dan Y yaitu motivasi berprestasi dengan flow akademik memiliki hubungan yang linear atau tidak</w:t>
      </w:r>
      <w:r>
        <w:rPr>
          <w:color w:val="000000"/>
          <w:sz w:val="20"/>
          <w:szCs w:val="20"/>
        </w:rPr>
        <w:t>.</w:t>
      </w:r>
    </w:p>
    <w:p w14:paraId="2674D82B" w14:textId="77777777" w:rsidR="005E76D6" w:rsidRDefault="005E76D6" w:rsidP="005E76D6">
      <w:pPr>
        <w:pBdr>
          <w:top w:val="nil"/>
          <w:left w:val="nil"/>
          <w:bottom w:val="nil"/>
          <w:right w:val="nil"/>
          <w:between w:val="nil"/>
        </w:pBdr>
        <w:ind w:firstLine="288"/>
        <w:jc w:val="both"/>
        <w:rPr>
          <w:color w:val="000000"/>
          <w:sz w:val="20"/>
          <w:szCs w:val="20"/>
        </w:rPr>
      </w:pPr>
    </w:p>
    <w:p w14:paraId="6B95BD2A" w14:textId="77777777" w:rsidR="005E76D6" w:rsidRDefault="005E76D6" w:rsidP="005E76D6">
      <w:pPr>
        <w:pBdr>
          <w:top w:val="nil"/>
          <w:left w:val="nil"/>
          <w:bottom w:val="nil"/>
          <w:right w:val="nil"/>
          <w:between w:val="nil"/>
        </w:pBdr>
        <w:ind w:firstLine="288"/>
        <w:jc w:val="center"/>
        <w:rPr>
          <w:color w:val="000000"/>
          <w:sz w:val="20"/>
          <w:szCs w:val="20"/>
        </w:rPr>
      </w:pPr>
      <w:r>
        <w:rPr>
          <w:noProof/>
          <w:lang w:eastAsia="id-ID"/>
        </w:rPr>
        <w:drawing>
          <wp:inline distT="0" distB="0" distL="0" distR="0" wp14:anchorId="38F6DFE1" wp14:editId="71F79AA5">
            <wp:extent cx="1800000" cy="18000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488219" name=""/>
                    <pic:cNvPicPr/>
                  </pic:nvPicPr>
                  <pic:blipFill>
                    <a:blip r:embed="rId5"/>
                    <a:stretch>
                      <a:fillRect/>
                    </a:stretch>
                  </pic:blipFill>
                  <pic:spPr>
                    <a:xfrm>
                      <a:off x="0" y="0"/>
                      <a:ext cx="1800000" cy="1800000"/>
                    </a:xfrm>
                    <a:prstGeom prst="rect">
                      <a:avLst/>
                    </a:prstGeom>
                  </pic:spPr>
                </pic:pic>
              </a:graphicData>
            </a:graphic>
          </wp:inline>
        </w:drawing>
      </w:r>
    </w:p>
    <w:p w14:paraId="6A86E266" w14:textId="77777777" w:rsidR="005E76D6" w:rsidRPr="00123545" w:rsidRDefault="005E76D6" w:rsidP="005E76D6">
      <w:pPr>
        <w:pStyle w:val="Caption"/>
        <w:jc w:val="center"/>
        <w:rPr>
          <w:rFonts w:cs="Times New Roman"/>
          <w:b/>
          <w:bCs/>
          <w:i w:val="0"/>
          <w:iCs w:val="0"/>
          <w:color w:val="000000"/>
          <w:sz w:val="20"/>
          <w:szCs w:val="20"/>
        </w:rPr>
      </w:pPr>
      <w:r w:rsidRPr="00123545">
        <w:rPr>
          <w:rFonts w:cs="Times New Roman"/>
          <w:b/>
          <w:bCs/>
          <w:i w:val="0"/>
          <w:iCs w:val="0"/>
          <w:sz w:val="20"/>
          <w:szCs w:val="20"/>
        </w:rPr>
        <w:t xml:space="preserve">Figure </w:t>
      </w:r>
      <w:r w:rsidRPr="00123545">
        <w:rPr>
          <w:rFonts w:cs="Times New Roman"/>
          <w:b/>
          <w:bCs/>
          <w:i w:val="0"/>
          <w:iCs w:val="0"/>
          <w:sz w:val="20"/>
          <w:szCs w:val="20"/>
        </w:rPr>
        <w:fldChar w:fldCharType="begin"/>
      </w:r>
      <w:r w:rsidRPr="00123545">
        <w:rPr>
          <w:rFonts w:cs="Times New Roman"/>
          <w:b/>
          <w:bCs/>
          <w:i w:val="0"/>
          <w:iCs w:val="0"/>
          <w:sz w:val="20"/>
          <w:szCs w:val="20"/>
        </w:rPr>
        <w:instrText xml:space="preserve"> SEQ Figure \* ARABIC </w:instrText>
      </w:r>
      <w:r w:rsidRPr="00123545">
        <w:rPr>
          <w:rFonts w:cs="Times New Roman"/>
          <w:b/>
          <w:bCs/>
          <w:i w:val="0"/>
          <w:iCs w:val="0"/>
          <w:sz w:val="20"/>
          <w:szCs w:val="20"/>
        </w:rPr>
        <w:fldChar w:fldCharType="separate"/>
      </w:r>
      <w:r w:rsidRPr="00123545">
        <w:rPr>
          <w:rFonts w:cs="Times New Roman"/>
          <w:b/>
          <w:bCs/>
          <w:i w:val="0"/>
          <w:iCs w:val="0"/>
          <w:noProof/>
          <w:sz w:val="20"/>
          <w:szCs w:val="20"/>
        </w:rPr>
        <w:t>1</w:t>
      </w:r>
      <w:r w:rsidRPr="00123545">
        <w:rPr>
          <w:rFonts w:cs="Times New Roman"/>
          <w:b/>
          <w:bCs/>
          <w:i w:val="0"/>
          <w:iCs w:val="0"/>
          <w:sz w:val="20"/>
          <w:szCs w:val="20"/>
        </w:rPr>
        <w:fldChar w:fldCharType="end"/>
      </w:r>
      <w:r w:rsidRPr="00123545">
        <w:rPr>
          <w:rFonts w:cs="Times New Roman"/>
          <w:b/>
          <w:bCs/>
          <w:i w:val="0"/>
          <w:iCs w:val="0"/>
          <w:sz w:val="20"/>
          <w:szCs w:val="20"/>
        </w:rPr>
        <w:t>. Grafik Hasil Uji Linearitas</w:t>
      </w:r>
    </w:p>
    <w:p w14:paraId="53A863DB" w14:textId="77777777" w:rsidR="005E76D6" w:rsidRPr="005F4BFF" w:rsidRDefault="005E76D6" w:rsidP="005E76D6">
      <w:pPr>
        <w:pBdr>
          <w:top w:val="nil"/>
          <w:left w:val="nil"/>
          <w:bottom w:val="nil"/>
          <w:right w:val="nil"/>
          <w:between w:val="nil"/>
        </w:pBdr>
        <w:ind w:firstLine="288"/>
        <w:jc w:val="center"/>
        <w:rPr>
          <w:color w:val="000000"/>
          <w:sz w:val="20"/>
          <w:szCs w:val="20"/>
        </w:rPr>
      </w:pPr>
    </w:p>
    <w:p w14:paraId="7E0BAB9C" w14:textId="77777777" w:rsidR="005E76D6" w:rsidRDefault="005E76D6" w:rsidP="005E76D6">
      <w:pPr>
        <w:pBdr>
          <w:top w:val="nil"/>
          <w:left w:val="nil"/>
          <w:bottom w:val="nil"/>
          <w:right w:val="nil"/>
          <w:between w:val="nil"/>
        </w:pBdr>
        <w:ind w:firstLine="288"/>
        <w:jc w:val="both"/>
        <w:rPr>
          <w:color w:val="000000"/>
          <w:sz w:val="20"/>
          <w:szCs w:val="20"/>
        </w:rPr>
      </w:pPr>
      <w:r w:rsidRPr="005F4BFF">
        <w:rPr>
          <w:color w:val="000000"/>
          <w:sz w:val="20"/>
          <w:szCs w:val="20"/>
        </w:rPr>
        <w:t>Berdasarkan grafik tersebut, standardized residual atau penyebaran cenderung terlihat dekat dengan garis linear. Hal ini konsisten berdasarkan pendapat</w:t>
      </w:r>
      <w:r>
        <w:rPr>
          <w:color w:val="000000"/>
          <w:sz w:val="20"/>
          <w:szCs w:val="20"/>
        </w:rPr>
        <w:t xml:space="preserve"> yang dikemukakan oleh Sampson </w:t>
      </w:r>
      <w:r>
        <w:rPr>
          <w:color w:val="000000"/>
          <w:sz w:val="20"/>
          <w:szCs w:val="20"/>
        </w:rPr>
        <w:fldChar w:fldCharType="begin" w:fldLock="1"/>
      </w:r>
      <w:r>
        <w:rPr>
          <w:color w:val="000000"/>
          <w:sz w:val="20"/>
          <w:szCs w:val="20"/>
        </w:rPr>
        <w:instrText>ADDIN CSL_CITATION {"citationItems":[{"id":"ITEM-1","itemData":{"author":[{"dropping-particle":"","family":"Bagaskara","given":"Sunu","non-dropping-particle":"","parse-names":false,"suffix":""},{"dropping-particle":"","family":"Akmal","given":"Sari Zakiah","non-dropping-particle":"","parse-names":false,"suffix":""}],"id":"ITEM-1","issued":{"date-parts":[["2020"]]},"publisher":"JASP","title":"Analisis Statistik Menggunakan JASP: Buku Panduan untuk Mahasiswa Driving feedback View project Career Adaptability in Young Adults View project","type":"book"},"uris":["http://www.mendeley.com/documents/?uuid=2075d3f4-05be-4876-8b73-c79ddf8156b8"]}],"mendeley":{"formattedCitation":"[21]","plainTextFormattedCitation":"[21]","previouslyFormattedCitation":"[21]"},"properties":{"noteIndex":0},"schema":"https://github.com/citation-style-language/schema/raw/master/csl-citation.json"}</w:instrText>
      </w:r>
      <w:r>
        <w:rPr>
          <w:color w:val="000000"/>
          <w:sz w:val="20"/>
          <w:szCs w:val="20"/>
        </w:rPr>
        <w:fldChar w:fldCharType="separate"/>
      </w:r>
      <w:r w:rsidRPr="00690111">
        <w:rPr>
          <w:noProof/>
          <w:color w:val="000000"/>
          <w:sz w:val="20"/>
          <w:szCs w:val="20"/>
        </w:rPr>
        <w:t>[21]</w:t>
      </w:r>
      <w:r>
        <w:rPr>
          <w:color w:val="000000"/>
          <w:sz w:val="20"/>
          <w:szCs w:val="20"/>
        </w:rPr>
        <w:fldChar w:fldCharType="end"/>
      </w:r>
      <w:r>
        <w:rPr>
          <w:color w:val="000000"/>
          <w:sz w:val="20"/>
          <w:szCs w:val="20"/>
        </w:rPr>
        <w:t xml:space="preserve"> </w:t>
      </w:r>
      <w:r w:rsidRPr="005F4BFF">
        <w:rPr>
          <w:color w:val="000000"/>
          <w:sz w:val="20"/>
          <w:szCs w:val="20"/>
        </w:rPr>
        <w:t>plot Q-Q menunjukkan bahwa residual yang terstandarisasi ada di sepanjang garis diagonal, menandakan bahwa asumsi linearitas terpenuhi. Oleh karena itu,bisa disimpulkan bahwa ada hubungan linear antara variabel religiusitas dan flow akademik</w:t>
      </w:r>
      <w:r>
        <w:rPr>
          <w:color w:val="000000"/>
          <w:sz w:val="20"/>
          <w:szCs w:val="20"/>
        </w:rPr>
        <w:t xml:space="preserve">. </w:t>
      </w:r>
      <w:r w:rsidRPr="009264BC">
        <w:rPr>
          <w:color w:val="FFFFFF" w:themeColor="background1"/>
          <w:sz w:val="20"/>
          <w:szCs w:val="20"/>
        </w:rPr>
        <w:fldChar w:fldCharType="begin" w:fldLock="1"/>
      </w:r>
      <w:r>
        <w:rPr>
          <w:color w:val="FFFFFF" w:themeColor="background1"/>
          <w:sz w:val="20"/>
          <w:szCs w:val="20"/>
        </w:rPr>
        <w:instrText>ADDIN CSL_CITATION {"citationItems":[{"id":"ITEM-1","itemData":{"author":[{"dropping-particle":"","family":"Sampson","given":"M. A. G.","non-dropping-particle":"","parse-names":false,"suffix":""}],"id":"ITEM-1","issued":{"date-parts":[["2019"]]},"publisher":"University Of Greewich","publisher-place":"London","title":"Analisis Statistik Menggunakan JASP: Buku Panduan Untuk Mahasiswa","type":"book"},"uris":["http://www.mendeley.com/documents/?uuid=e2f039c2-dd21-49c9-904b-4b50db472f80"]}],"mendeley":{"formattedCitation":"[22]","plainTextFormattedCitation":"[22]","previouslyFormattedCitation":"[22]"},"properties":{"noteIndex":0},"schema":"https://github.com/citation-style-language/schema/raw/master/csl-citation.json"}</w:instrText>
      </w:r>
      <w:r w:rsidRPr="009264BC">
        <w:rPr>
          <w:color w:val="FFFFFF" w:themeColor="background1"/>
          <w:sz w:val="20"/>
          <w:szCs w:val="20"/>
        </w:rPr>
        <w:fldChar w:fldCharType="separate"/>
      </w:r>
      <w:r w:rsidRPr="009264BC">
        <w:rPr>
          <w:noProof/>
          <w:color w:val="FFFFFF" w:themeColor="background1"/>
          <w:sz w:val="20"/>
          <w:szCs w:val="20"/>
        </w:rPr>
        <w:t>[22]</w:t>
      </w:r>
      <w:r w:rsidRPr="009264BC">
        <w:rPr>
          <w:color w:val="FFFFFF" w:themeColor="background1"/>
          <w:sz w:val="20"/>
          <w:szCs w:val="20"/>
        </w:rPr>
        <w:fldChar w:fldCharType="end"/>
      </w:r>
    </w:p>
    <w:p w14:paraId="20C384D2" w14:textId="77777777" w:rsidR="005E76D6" w:rsidRDefault="005E76D6" w:rsidP="005E76D6">
      <w:pPr>
        <w:pBdr>
          <w:top w:val="nil"/>
          <w:left w:val="nil"/>
          <w:bottom w:val="nil"/>
          <w:right w:val="nil"/>
          <w:between w:val="nil"/>
        </w:pBdr>
        <w:ind w:firstLine="288"/>
        <w:jc w:val="both"/>
        <w:rPr>
          <w:color w:val="000000"/>
          <w:sz w:val="20"/>
          <w:szCs w:val="20"/>
        </w:rPr>
      </w:pPr>
    </w:p>
    <w:p w14:paraId="07CB3D97" w14:textId="77777777" w:rsidR="005E76D6" w:rsidRPr="00123545" w:rsidRDefault="005E76D6" w:rsidP="005E76D6">
      <w:pPr>
        <w:pStyle w:val="ListParagraph"/>
        <w:numPr>
          <w:ilvl w:val="0"/>
          <w:numId w:val="2"/>
        </w:numPr>
        <w:pBdr>
          <w:top w:val="nil"/>
          <w:left w:val="nil"/>
          <w:bottom w:val="nil"/>
          <w:right w:val="nil"/>
          <w:between w:val="nil"/>
        </w:pBdr>
        <w:jc w:val="both"/>
        <w:rPr>
          <w:b/>
          <w:bCs/>
          <w:iCs/>
          <w:color w:val="000000"/>
          <w:sz w:val="20"/>
          <w:szCs w:val="20"/>
        </w:rPr>
      </w:pPr>
      <w:r w:rsidRPr="00123545">
        <w:rPr>
          <w:b/>
          <w:bCs/>
          <w:iCs/>
          <w:color w:val="000000"/>
          <w:sz w:val="20"/>
          <w:szCs w:val="20"/>
        </w:rPr>
        <w:t>Uji hipotesis</w:t>
      </w:r>
    </w:p>
    <w:p w14:paraId="1B068068" w14:textId="77777777" w:rsidR="005E76D6" w:rsidRDefault="005E76D6" w:rsidP="005E76D6">
      <w:pPr>
        <w:pBdr>
          <w:top w:val="nil"/>
          <w:left w:val="nil"/>
          <w:bottom w:val="nil"/>
          <w:right w:val="nil"/>
          <w:between w:val="nil"/>
        </w:pBdr>
        <w:ind w:firstLine="288"/>
        <w:jc w:val="both"/>
        <w:rPr>
          <w:color w:val="000000"/>
          <w:sz w:val="20"/>
          <w:szCs w:val="20"/>
        </w:rPr>
      </w:pPr>
      <w:r w:rsidRPr="005F4BFF">
        <w:rPr>
          <w:color w:val="000000"/>
          <w:sz w:val="20"/>
          <w:szCs w:val="20"/>
        </w:rPr>
        <w:t>Langkah berikutnya yaitu uji hipotesis dengan analisis korelasi Pearson untuk menguji hubungan antara motivasi berprestasi dan flow akademik pada Mahasiswa Angkatan 2023 Semester Genap Tahun Akademik 2023/2024 di Fakultas Psikologi dan Ilmu Pendidika, UMSID</w:t>
      </w:r>
      <w:r>
        <w:rPr>
          <w:color w:val="000000"/>
          <w:sz w:val="20"/>
          <w:szCs w:val="20"/>
        </w:rPr>
        <w:t>.</w:t>
      </w:r>
    </w:p>
    <w:p w14:paraId="6378D23F" w14:textId="77777777" w:rsidR="005E76D6" w:rsidRDefault="005E76D6" w:rsidP="005E76D6">
      <w:pPr>
        <w:pBdr>
          <w:top w:val="nil"/>
          <w:left w:val="nil"/>
          <w:bottom w:val="nil"/>
          <w:right w:val="nil"/>
          <w:between w:val="nil"/>
        </w:pBdr>
        <w:ind w:firstLine="288"/>
        <w:jc w:val="both"/>
        <w:rPr>
          <w:color w:val="000000"/>
          <w:sz w:val="20"/>
          <w:szCs w:val="20"/>
        </w:rPr>
      </w:pPr>
    </w:p>
    <w:p w14:paraId="2D26AB21" w14:textId="77777777" w:rsidR="005E76D6" w:rsidRPr="00123545" w:rsidRDefault="005E76D6" w:rsidP="005E76D6">
      <w:pPr>
        <w:pStyle w:val="Caption"/>
        <w:jc w:val="center"/>
        <w:rPr>
          <w:rFonts w:cs="Times New Roman"/>
          <w:b/>
          <w:bCs/>
          <w:i w:val="0"/>
          <w:iCs w:val="0"/>
          <w:color w:val="000000"/>
          <w:sz w:val="16"/>
          <w:szCs w:val="18"/>
        </w:rPr>
      </w:pPr>
      <w:r w:rsidRPr="00123545">
        <w:rPr>
          <w:rFonts w:cs="Times New Roman"/>
          <w:b/>
          <w:bCs/>
          <w:i w:val="0"/>
          <w:iCs w:val="0"/>
          <w:sz w:val="20"/>
          <w:szCs w:val="22"/>
        </w:rPr>
        <w:t xml:space="preserve">Tabel </w:t>
      </w:r>
      <w:r w:rsidRPr="00123545">
        <w:rPr>
          <w:rFonts w:cs="Times New Roman"/>
          <w:b/>
          <w:bCs/>
          <w:i w:val="0"/>
          <w:iCs w:val="0"/>
          <w:sz w:val="20"/>
          <w:szCs w:val="22"/>
        </w:rPr>
        <w:fldChar w:fldCharType="begin"/>
      </w:r>
      <w:r w:rsidRPr="00123545">
        <w:rPr>
          <w:rFonts w:cs="Times New Roman"/>
          <w:b/>
          <w:bCs/>
          <w:i w:val="0"/>
          <w:iCs w:val="0"/>
          <w:sz w:val="20"/>
          <w:szCs w:val="22"/>
        </w:rPr>
        <w:instrText xml:space="preserve"> SEQ Table \* ARABIC </w:instrText>
      </w:r>
      <w:r w:rsidRPr="00123545">
        <w:rPr>
          <w:rFonts w:cs="Times New Roman"/>
          <w:b/>
          <w:bCs/>
          <w:i w:val="0"/>
          <w:iCs w:val="0"/>
          <w:sz w:val="20"/>
          <w:szCs w:val="22"/>
        </w:rPr>
        <w:fldChar w:fldCharType="separate"/>
      </w:r>
      <w:r w:rsidRPr="00123545">
        <w:rPr>
          <w:rFonts w:cs="Times New Roman"/>
          <w:b/>
          <w:bCs/>
          <w:i w:val="0"/>
          <w:iCs w:val="0"/>
          <w:noProof/>
          <w:sz w:val="20"/>
          <w:szCs w:val="22"/>
        </w:rPr>
        <w:t>2</w:t>
      </w:r>
      <w:r w:rsidRPr="00123545">
        <w:rPr>
          <w:rFonts w:cs="Times New Roman"/>
          <w:b/>
          <w:bCs/>
          <w:i w:val="0"/>
          <w:iCs w:val="0"/>
          <w:sz w:val="20"/>
          <w:szCs w:val="22"/>
        </w:rPr>
        <w:fldChar w:fldCharType="end"/>
      </w:r>
      <w:r w:rsidRPr="00123545">
        <w:rPr>
          <w:rFonts w:cs="Times New Roman"/>
          <w:b/>
          <w:bCs/>
          <w:i w:val="0"/>
          <w:iCs w:val="0"/>
          <w:sz w:val="20"/>
          <w:szCs w:val="22"/>
        </w:rPr>
        <w:t>.Uji Hipotesis Data Penelitian</w:t>
      </w:r>
    </w:p>
    <w:tbl>
      <w:tblPr>
        <w:tblW w:w="5136" w:type="dxa"/>
        <w:tblInd w:w="1950" w:type="dxa"/>
        <w:tblLook w:val="04A0" w:firstRow="1" w:lastRow="0" w:firstColumn="1" w:lastColumn="0" w:noHBand="0" w:noVBand="1"/>
      </w:tblPr>
      <w:tblGrid>
        <w:gridCol w:w="1296"/>
        <w:gridCol w:w="408"/>
        <w:gridCol w:w="1216"/>
        <w:gridCol w:w="761"/>
        <w:gridCol w:w="623"/>
        <w:gridCol w:w="832"/>
      </w:tblGrid>
      <w:tr w:rsidR="005E76D6" w:rsidRPr="002E532F" w14:paraId="29F05239" w14:textId="77777777" w:rsidTr="0010686B">
        <w:trPr>
          <w:trHeight w:val="192"/>
        </w:trPr>
        <w:tc>
          <w:tcPr>
            <w:tcW w:w="5136" w:type="dxa"/>
            <w:gridSpan w:val="6"/>
            <w:tcBorders>
              <w:top w:val="single" w:sz="4" w:space="0" w:color="auto"/>
              <w:left w:val="nil"/>
              <w:bottom w:val="single" w:sz="8" w:space="0" w:color="000000"/>
              <w:right w:val="nil"/>
            </w:tcBorders>
            <w:shd w:val="clear" w:color="auto" w:fill="auto"/>
            <w:vAlign w:val="center"/>
            <w:hideMark/>
          </w:tcPr>
          <w:p w14:paraId="3F7FEE93" w14:textId="77777777" w:rsidR="005E76D6" w:rsidRPr="002E532F" w:rsidRDefault="005E76D6" w:rsidP="0010686B">
            <w:pPr>
              <w:jc w:val="center"/>
              <w:rPr>
                <w:b/>
                <w:bCs/>
                <w:color w:val="000000"/>
              </w:rPr>
            </w:pPr>
            <w:r w:rsidRPr="002E532F">
              <w:rPr>
                <w:b/>
                <w:bCs/>
                <w:color w:val="000000"/>
              </w:rPr>
              <w:t>Pearson's Correlations</w:t>
            </w:r>
          </w:p>
        </w:tc>
      </w:tr>
      <w:tr w:rsidR="005E76D6" w:rsidRPr="002E532F" w14:paraId="0FF5A2F4" w14:textId="77777777" w:rsidTr="0010686B">
        <w:trPr>
          <w:trHeight w:val="192"/>
        </w:trPr>
        <w:tc>
          <w:tcPr>
            <w:tcW w:w="1296" w:type="dxa"/>
            <w:tcBorders>
              <w:top w:val="nil"/>
              <w:left w:val="nil"/>
              <w:bottom w:val="single" w:sz="8" w:space="0" w:color="000000"/>
              <w:right w:val="nil"/>
            </w:tcBorders>
            <w:shd w:val="clear" w:color="auto" w:fill="auto"/>
            <w:vAlign w:val="center"/>
            <w:hideMark/>
          </w:tcPr>
          <w:p w14:paraId="038F1FDD" w14:textId="77777777" w:rsidR="005E76D6" w:rsidRPr="002E532F" w:rsidRDefault="005E76D6" w:rsidP="0010686B">
            <w:pPr>
              <w:rPr>
                <w:b/>
                <w:bCs/>
                <w:color w:val="000000"/>
              </w:rPr>
            </w:pPr>
            <w:r w:rsidRPr="002E532F">
              <w:rPr>
                <w:b/>
                <w:bCs/>
                <w:color w:val="000000"/>
              </w:rPr>
              <w:t> </w:t>
            </w:r>
          </w:p>
        </w:tc>
        <w:tc>
          <w:tcPr>
            <w:tcW w:w="408" w:type="dxa"/>
            <w:tcBorders>
              <w:top w:val="nil"/>
              <w:left w:val="nil"/>
              <w:bottom w:val="single" w:sz="8" w:space="0" w:color="000000"/>
              <w:right w:val="nil"/>
            </w:tcBorders>
            <w:shd w:val="clear" w:color="auto" w:fill="auto"/>
            <w:vAlign w:val="center"/>
            <w:hideMark/>
          </w:tcPr>
          <w:p w14:paraId="24C61BE2" w14:textId="77777777" w:rsidR="005E76D6" w:rsidRPr="002E532F" w:rsidRDefault="005E76D6" w:rsidP="0010686B">
            <w:pPr>
              <w:rPr>
                <w:b/>
                <w:bCs/>
                <w:color w:val="000000"/>
              </w:rPr>
            </w:pPr>
            <w:r w:rsidRPr="002E532F">
              <w:rPr>
                <w:b/>
                <w:bCs/>
                <w:color w:val="000000"/>
              </w:rPr>
              <w:t> </w:t>
            </w:r>
          </w:p>
        </w:tc>
        <w:tc>
          <w:tcPr>
            <w:tcW w:w="1216" w:type="dxa"/>
            <w:tcBorders>
              <w:top w:val="nil"/>
              <w:left w:val="nil"/>
              <w:bottom w:val="single" w:sz="8" w:space="0" w:color="000000"/>
              <w:right w:val="nil"/>
            </w:tcBorders>
            <w:shd w:val="clear" w:color="auto" w:fill="auto"/>
            <w:vAlign w:val="center"/>
            <w:hideMark/>
          </w:tcPr>
          <w:p w14:paraId="5F286239" w14:textId="77777777" w:rsidR="005E76D6" w:rsidRPr="002E532F" w:rsidRDefault="005E76D6" w:rsidP="0010686B">
            <w:pPr>
              <w:rPr>
                <w:b/>
                <w:bCs/>
                <w:color w:val="000000"/>
              </w:rPr>
            </w:pPr>
            <w:r w:rsidRPr="002E532F">
              <w:rPr>
                <w:b/>
                <w:bCs/>
                <w:color w:val="000000"/>
              </w:rPr>
              <w:t> </w:t>
            </w:r>
          </w:p>
        </w:tc>
        <w:tc>
          <w:tcPr>
            <w:tcW w:w="1384" w:type="dxa"/>
            <w:gridSpan w:val="2"/>
            <w:tcBorders>
              <w:top w:val="single" w:sz="8" w:space="0" w:color="000000"/>
              <w:left w:val="nil"/>
              <w:bottom w:val="single" w:sz="8" w:space="0" w:color="000000"/>
              <w:right w:val="nil"/>
            </w:tcBorders>
            <w:shd w:val="clear" w:color="auto" w:fill="auto"/>
            <w:vAlign w:val="center"/>
            <w:hideMark/>
          </w:tcPr>
          <w:p w14:paraId="2B4D1C98" w14:textId="77777777" w:rsidR="005E76D6" w:rsidRPr="002E532F" w:rsidRDefault="005E76D6" w:rsidP="0010686B">
            <w:pPr>
              <w:rPr>
                <w:b/>
                <w:bCs/>
                <w:color w:val="000000"/>
              </w:rPr>
            </w:pPr>
            <w:r w:rsidRPr="002E532F">
              <w:rPr>
                <w:b/>
                <w:bCs/>
                <w:color w:val="000000"/>
              </w:rPr>
              <w:t>Pearson's r</w:t>
            </w:r>
          </w:p>
        </w:tc>
        <w:tc>
          <w:tcPr>
            <w:tcW w:w="832" w:type="dxa"/>
            <w:tcBorders>
              <w:top w:val="nil"/>
              <w:left w:val="nil"/>
              <w:bottom w:val="single" w:sz="8" w:space="0" w:color="000000"/>
              <w:right w:val="nil"/>
            </w:tcBorders>
            <w:shd w:val="clear" w:color="auto" w:fill="auto"/>
            <w:vAlign w:val="center"/>
            <w:hideMark/>
          </w:tcPr>
          <w:p w14:paraId="484EBEAC" w14:textId="77777777" w:rsidR="005E76D6" w:rsidRPr="002E532F" w:rsidRDefault="005E76D6" w:rsidP="0010686B">
            <w:pPr>
              <w:rPr>
                <w:b/>
                <w:bCs/>
                <w:color w:val="000000"/>
              </w:rPr>
            </w:pPr>
            <w:r w:rsidRPr="002E532F">
              <w:rPr>
                <w:b/>
                <w:bCs/>
                <w:color w:val="000000"/>
              </w:rPr>
              <w:t>p</w:t>
            </w:r>
          </w:p>
        </w:tc>
      </w:tr>
      <w:tr w:rsidR="005E76D6" w:rsidRPr="002E532F" w14:paraId="16B5DD9C" w14:textId="77777777" w:rsidTr="0010686B">
        <w:trPr>
          <w:trHeight w:val="555"/>
        </w:trPr>
        <w:tc>
          <w:tcPr>
            <w:tcW w:w="1296" w:type="dxa"/>
            <w:tcBorders>
              <w:top w:val="nil"/>
              <w:left w:val="nil"/>
              <w:bottom w:val="nil"/>
              <w:right w:val="nil"/>
            </w:tcBorders>
            <w:shd w:val="clear" w:color="auto" w:fill="auto"/>
            <w:vAlign w:val="center"/>
            <w:hideMark/>
          </w:tcPr>
          <w:p w14:paraId="5D7935A4" w14:textId="77777777" w:rsidR="005E76D6" w:rsidRPr="002E532F" w:rsidRDefault="005E76D6" w:rsidP="0010686B">
            <w:pPr>
              <w:rPr>
                <w:color w:val="000000"/>
              </w:rPr>
            </w:pPr>
            <w:r w:rsidRPr="002E532F">
              <w:rPr>
                <w:color w:val="000000"/>
              </w:rPr>
              <w:lastRenderedPageBreak/>
              <w:t>Motivasi Berprestasi</w:t>
            </w:r>
          </w:p>
        </w:tc>
        <w:tc>
          <w:tcPr>
            <w:tcW w:w="408" w:type="dxa"/>
            <w:tcBorders>
              <w:top w:val="nil"/>
              <w:left w:val="nil"/>
              <w:bottom w:val="nil"/>
              <w:right w:val="nil"/>
            </w:tcBorders>
            <w:shd w:val="clear" w:color="auto" w:fill="auto"/>
            <w:vAlign w:val="center"/>
            <w:hideMark/>
          </w:tcPr>
          <w:p w14:paraId="0E0BCDF7" w14:textId="77777777" w:rsidR="005E76D6" w:rsidRPr="002E532F" w:rsidRDefault="005E76D6" w:rsidP="0010686B">
            <w:pPr>
              <w:rPr>
                <w:color w:val="000000"/>
              </w:rPr>
            </w:pPr>
            <w:r w:rsidRPr="002E532F">
              <w:rPr>
                <w:color w:val="000000"/>
              </w:rPr>
              <w:t>-</w:t>
            </w:r>
          </w:p>
        </w:tc>
        <w:tc>
          <w:tcPr>
            <w:tcW w:w="1216" w:type="dxa"/>
            <w:tcBorders>
              <w:top w:val="nil"/>
              <w:left w:val="nil"/>
              <w:bottom w:val="nil"/>
              <w:right w:val="nil"/>
            </w:tcBorders>
            <w:shd w:val="clear" w:color="auto" w:fill="auto"/>
            <w:vAlign w:val="center"/>
            <w:hideMark/>
          </w:tcPr>
          <w:p w14:paraId="75E93A18" w14:textId="77777777" w:rsidR="005E76D6" w:rsidRPr="002E532F" w:rsidRDefault="005E76D6" w:rsidP="0010686B">
            <w:pPr>
              <w:rPr>
                <w:color w:val="000000"/>
              </w:rPr>
            </w:pPr>
            <w:r w:rsidRPr="0046739D">
              <w:rPr>
                <w:i/>
                <w:color w:val="000000"/>
              </w:rPr>
              <w:t xml:space="preserve">Flow </w:t>
            </w:r>
            <w:r w:rsidRPr="0046739D">
              <w:rPr>
                <w:color w:val="000000"/>
              </w:rPr>
              <w:t>akademik</w:t>
            </w:r>
          </w:p>
        </w:tc>
        <w:tc>
          <w:tcPr>
            <w:tcW w:w="761" w:type="dxa"/>
            <w:tcBorders>
              <w:top w:val="nil"/>
              <w:left w:val="nil"/>
              <w:bottom w:val="nil"/>
              <w:right w:val="nil"/>
            </w:tcBorders>
            <w:shd w:val="clear" w:color="auto" w:fill="auto"/>
            <w:vAlign w:val="center"/>
            <w:hideMark/>
          </w:tcPr>
          <w:p w14:paraId="0F66A1DC" w14:textId="77777777" w:rsidR="005E76D6" w:rsidRPr="002E532F" w:rsidRDefault="005E76D6" w:rsidP="0010686B">
            <w:pPr>
              <w:rPr>
                <w:color w:val="000000"/>
              </w:rPr>
            </w:pPr>
            <w:r w:rsidRPr="002E532F">
              <w:rPr>
                <w:color w:val="000000"/>
              </w:rPr>
              <w:t>0.495</w:t>
            </w:r>
          </w:p>
        </w:tc>
        <w:tc>
          <w:tcPr>
            <w:tcW w:w="623" w:type="dxa"/>
            <w:tcBorders>
              <w:top w:val="nil"/>
              <w:left w:val="nil"/>
              <w:bottom w:val="nil"/>
              <w:right w:val="nil"/>
            </w:tcBorders>
            <w:shd w:val="clear" w:color="auto" w:fill="auto"/>
            <w:vAlign w:val="center"/>
            <w:hideMark/>
          </w:tcPr>
          <w:p w14:paraId="6F5C2134" w14:textId="77777777" w:rsidR="005E76D6" w:rsidRPr="002E532F" w:rsidRDefault="005E76D6" w:rsidP="0010686B">
            <w:pPr>
              <w:rPr>
                <w:color w:val="000000"/>
              </w:rPr>
            </w:pPr>
            <w:r w:rsidRPr="002E532F">
              <w:rPr>
                <w:color w:val="000000"/>
              </w:rPr>
              <w:t>***</w:t>
            </w:r>
          </w:p>
        </w:tc>
        <w:tc>
          <w:tcPr>
            <w:tcW w:w="832" w:type="dxa"/>
            <w:tcBorders>
              <w:top w:val="nil"/>
              <w:left w:val="nil"/>
              <w:bottom w:val="nil"/>
              <w:right w:val="nil"/>
            </w:tcBorders>
            <w:shd w:val="clear" w:color="auto" w:fill="auto"/>
            <w:vAlign w:val="center"/>
            <w:hideMark/>
          </w:tcPr>
          <w:p w14:paraId="3C72AF24" w14:textId="77777777" w:rsidR="005E76D6" w:rsidRPr="002E532F" w:rsidRDefault="005E76D6" w:rsidP="0010686B">
            <w:pPr>
              <w:rPr>
                <w:color w:val="000000"/>
              </w:rPr>
            </w:pPr>
            <w:r w:rsidRPr="002E532F">
              <w:rPr>
                <w:color w:val="000000"/>
              </w:rPr>
              <w:t>&lt; .001</w:t>
            </w:r>
          </w:p>
        </w:tc>
      </w:tr>
      <w:tr w:rsidR="005E76D6" w:rsidRPr="002E532F" w14:paraId="4ECE6454" w14:textId="77777777" w:rsidTr="0010686B">
        <w:trPr>
          <w:trHeight w:val="192"/>
        </w:trPr>
        <w:tc>
          <w:tcPr>
            <w:tcW w:w="5136" w:type="dxa"/>
            <w:gridSpan w:val="6"/>
            <w:tcBorders>
              <w:top w:val="nil"/>
              <w:left w:val="nil"/>
              <w:bottom w:val="single" w:sz="8" w:space="0" w:color="000000"/>
              <w:right w:val="nil"/>
            </w:tcBorders>
            <w:shd w:val="clear" w:color="auto" w:fill="auto"/>
            <w:vAlign w:val="center"/>
            <w:hideMark/>
          </w:tcPr>
          <w:p w14:paraId="5A0361DE" w14:textId="77777777" w:rsidR="005E76D6" w:rsidRPr="002E532F" w:rsidRDefault="005E76D6" w:rsidP="0010686B">
            <w:pPr>
              <w:rPr>
                <w:color w:val="000000"/>
              </w:rPr>
            </w:pPr>
            <w:r w:rsidRPr="002E532F">
              <w:rPr>
                <w:color w:val="000000"/>
              </w:rPr>
              <w:t> </w:t>
            </w:r>
          </w:p>
        </w:tc>
      </w:tr>
      <w:tr w:rsidR="005E76D6" w:rsidRPr="002E532F" w14:paraId="171D7A1F" w14:textId="77777777" w:rsidTr="0010686B">
        <w:trPr>
          <w:trHeight w:val="185"/>
        </w:trPr>
        <w:tc>
          <w:tcPr>
            <w:tcW w:w="5136" w:type="dxa"/>
            <w:gridSpan w:val="6"/>
            <w:tcBorders>
              <w:top w:val="single" w:sz="8" w:space="0" w:color="000000"/>
              <w:left w:val="nil"/>
              <w:bottom w:val="nil"/>
              <w:right w:val="nil"/>
            </w:tcBorders>
            <w:shd w:val="clear" w:color="auto" w:fill="auto"/>
            <w:vAlign w:val="center"/>
          </w:tcPr>
          <w:p w14:paraId="5EEBCCD2" w14:textId="77777777" w:rsidR="005E76D6" w:rsidRPr="002E532F" w:rsidRDefault="005E76D6" w:rsidP="0010686B">
            <w:pPr>
              <w:rPr>
                <w:color w:val="000000"/>
              </w:rPr>
            </w:pPr>
          </w:p>
        </w:tc>
      </w:tr>
    </w:tbl>
    <w:p w14:paraId="60E2A4F7" w14:textId="77777777" w:rsidR="005E76D6" w:rsidRDefault="005E76D6" w:rsidP="005E76D6">
      <w:pPr>
        <w:pBdr>
          <w:top w:val="nil"/>
          <w:left w:val="nil"/>
          <w:bottom w:val="nil"/>
          <w:right w:val="nil"/>
          <w:between w:val="nil"/>
        </w:pBdr>
        <w:ind w:firstLine="288"/>
        <w:jc w:val="center"/>
        <w:rPr>
          <w:color w:val="000000"/>
          <w:sz w:val="20"/>
          <w:szCs w:val="20"/>
        </w:rPr>
      </w:pPr>
    </w:p>
    <w:p w14:paraId="71DF904A" w14:textId="77777777" w:rsidR="005E76D6" w:rsidRDefault="005E76D6" w:rsidP="005E76D6">
      <w:pPr>
        <w:pBdr>
          <w:top w:val="nil"/>
          <w:left w:val="nil"/>
          <w:bottom w:val="nil"/>
          <w:right w:val="nil"/>
          <w:between w:val="nil"/>
        </w:pBdr>
        <w:ind w:firstLine="288"/>
        <w:jc w:val="both"/>
        <w:rPr>
          <w:color w:val="000000"/>
          <w:sz w:val="20"/>
          <w:szCs w:val="20"/>
        </w:rPr>
      </w:pPr>
      <w:r>
        <w:rPr>
          <w:color w:val="000000"/>
          <w:sz w:val="20"/>
          <w:szCs w:val="20"/>
        </w:rPr>
        <w:t xml:space="preserve">Berdasarkan </w:t>
      </w:r>
      <w:r w:rsidRPr="00E84B35">
        <w:rPr>
          <w:color w:val="000000"/>
          <w:sz w:val="20"/>
          <w:szCs w:val="20"/>
        </w:rPr>
        <w:t>tabel 2 menjelaskan koefisien korelasi mencapai 0,495 dengan tingkat signifikansi (p = 0,001 &lt; 0,05). Oleh karena itu,  berdasarkan penelitian ini mendukung hipotesis yang diajukan, bahwa terdapat hubungan positif antara motivasi berprestasi dan flow akademik pada Mahasiswa Angkatan 2023 Semester Genap Tahun Akademik 2023/2024 di Fakultas Psikologi dan Ilmu Pendidikan Universitas Muhammadiyah Sidoarjo. Penelitian ini mengkategorikan motivasi berprestasi dan flow akademik ke dalam tiga kategori: rendah, sedang, dan tinggi. Berikut adalah tabel yang menjelaskan kategori untuk setiap variabel:</w:t>
      </w:r>
    </w:p>
    <w:p w14:paraId="28AF4AB0" w14:textId="77777777" w:rsidR="005E76D6" w:rsidRDefault="005E76D6" w:rsidP="005E76D6">
      <w:pPr>
        <w:pBdr>
          <w:top w:val="nil"/>
          <w:left w:val="nil"/>
          <w:bottom w:val="nil"/>
          <w:right w:val="nil"/>
          <w:between w:val="nil"/>
        </w:pBdr>
        <w:ind w:firstLine="288"/>
        <w:jc w:val="both"/>
        <w:rPr>
          <w:color w:val="000000"/>
          <w:sz w:val="20"/>
          <w:szCs w:val="20"/>
        </w:rPr>
      </w:pPr>
    </w:p>
    <w:p w14:paraId="67D119AD" w14:textId="77777777" w:rsidR="005E76D6" w:rsidRPr="00123545" w:rsidRDefault="005E76D6" w:rsidP="005E76D6">
      <w:pPr>
        <w:pStyle w:val="Caption"/>
        <w:jc w:val="center"/>
        <w:rPr>
          <w:rFonts w:cs="Times New Roman"/>
          <w:b/>
          <w:bCs/>
          <w:i w:val="0"/>
          <w:iCs w:val="0"/>
          <w:color w:val="000000"/>
          <w:sz w:val="20"/>
          <w:szCs w:val="20"/>
        </w:rPr>
      </w:pPr>
      <w:r w:rsidRPr="00123545">
        <w:rPr>
          <w:rFonts w:cs="Times New Roman"/>
          <w:b/>
          <w:bCs/>
          <w:i w:val="0"/>
          <w:iCs w:val="0"/>
          <w:sz w:val="20"/>
          <w:szCs w:val="20"/>
        </w:rPr>
        <w:t xml:space="preserve">Tabel </w:t>
      </w:r>
      <w:r w:rsidRPr="00123545">
        <w:rPr>
          <w:rFonts w:cs="Times New Roman"/>
          <w:b/>
          <w:bCs/>
          <w:i w:val="0"/>
          <w:iCs w:val="0"/>
          <w:sz w:val="20"/>
          <w:szCs w:val="20"/>
        </w:rPr>
        <w:fldChar w:fldCharType="begin"/>
      </w:r>
      <w:r w:rsidRPr="00123545">
        <w:rPr>
          <w:rFonts w:cs="Times New Roman"/>
          <w:b/>
          <w:bCs/>
          <w:i w:val="0"/>
          <w:iCs w:val="0"/>
          <w:sz w:val="20"/>
          <w:szCs w:val="20"/>
        </w:rPr>
        <w:instrText xml:space="preserve"> SEQ Table \* ARABIC </w:instrText>
      </w:r>
      <w:r w:rsidRPr="00123545">
        <w:rPr>
          <w:rFonts w:cs="Times New Roman"/>
          <w:b/>
          <w:bCs/>
          <w:i w:val="0"/>
          <w:iCs w:val="0"/>
          <w:sz w:val="20"/>
          <w:szCs w:val="20"/>
        </w:rPr>
        <w:fldChar w:fldCharType="separate"/>
      </w:r>
      <w:r w:rsidRPr="00123545">
        <w:rPr>
          <w:rFonts w:cs="Times New Roman"/>
          <w:b/>
          <w:bCs/>
          <w:i w:val="0"/>
          <w:iCs w:val="0"/>
          <w:noProof/>
          <w:sz w:val="20"/>
          <w:szCs w:val="20"/>
        </w:rPr>
        <w:t>3</w:t>
      </w:r>
      <w:r w:rsidRPr="00123545">
        <w:rPr>
          <w:rFonts w:cs="Times New Roman"/>
          <w:b/>
          <w:bCs/>
          <w:i w:val="0"/>
          <w:iCs w:val="0"/>
          <w:sz w:val="20"/>
          <w:szCs w:val="20"/>
        </w:rPr>
        <w:fldChar w:fldCharType="end"/>
      </w:r>
      <w:r w:rsidRPr="00123545">
        <w:rPr>
          <w:rFonts w:cs="Times New Roman"/>
          <w:b/>
          <w:bCs/>
          <w:i w:val="0"/>
          <w:iCs w:val="0"/>
          <w:sz w:val="20"/>
          <w:szCs w:val="20"/>
        </w:rPr>
        <w:t>. Kategorisasi Motivasi Berprestasi</w:t>
      </w:r>
    </w:p>
    <w:tbl>
      <w:tblPr>
        <w:tblStyle w:val="TableGrid"/>
        <w:tblW w:w="0" w:type="auto"/>
        <w:jc w:val="center"/>
        <w:tblLook w:val="04A0" w:firstRow="1" w:lastRow="0" w:firstColumn="1" w:lastColumn="0" w:noHBand="0" w:noVBand="1"/>
      </w:tblPr>
      <w:tblGrid>
        <w:gridCol w:w="1012"/>
        <w:gridCol w:w="1123"/>
        <w:gridCol w:w="1243"/>
        <w:gridCol w:w="1309"/>
      </w:tblGrid>
      <w:tr w:rsidR="005E76D6" w:rsidRPr="00E84B35" w14:paraId="076B7EDC" w14:textId="77777777" w:rsidTr="0010686B">
        <w:trPr>
          <w:trHeight w:val="285"/>
          <w:jc w:val="center"/>
        </w:trPr>
        <w:tc>
          <w:tcPr>
            <w:tcW w:w="1012" w:type="dxa"/>
            <w:tcBorders>
              <w:bottom w:val="single" w:sz="4" w:space="0" w:color="auto"/>
            </w:tcBorders>
          </w:tcPr>
          <w:p w14:paraId="5BD2F696" w14:textId="77777777" w:rsidR="005E76D6" w:rsidRPr="00E84B35" w:rsidRDefault="005E76D6" w:rsidP="0010686B">
            <w:pPr>
              <w:jc w:val="center"/>
              <w:rPr>
                <w:b/>
                <w:bCs/>
              </w:rPr>
            </w:pPr>
            <w:r w:rsidRPr="00E84B35">
              <w:rPr>
                <w:b/>
                <w:bCs/>
              </w:rPr>
              <w:t>Skor</w:t>
            </w:r>
          </w:p>
        </w:tc>
        <w:tc>
          <w:tcPr>
            <w:tcW w:w="964" w:type="dxa"/>
            <w:tcBorders>
              <w:bottom w:val="single" w:sz="4" w:space="0" w:color="auto"/>
            </w:tcBorders>
          </w:tcPr>
          <w:p w14:paraId="474AB22E" w14:textId="77777777" w:rsidR="005E76D6" w:rsidRPr="00E84B35" w:rsidRDefault="005E76D6" w:rsidP="0010686B">
            <w:pPr>
              <w:jc w:val="center"/>
              <w:rPr>
                <w:b/>
                <w:bCs/>
              </w:rPr>
            </w:pPr>
            <w:r w:rsidRPr="00E84B35">
              <w:rPr>
                <w:b/>
                <w:bCs/>
              </w:rPr>
              <w:t>Kategori</w:t>
            </w:r>
          </w:p>
        </w:tc>
        <w:tc>
          <w:tcPr>
            <w:tcW w:w="1243" w:type="dxa"/>
            <w:tcBorders>
              <w:bottom w:val="single" w:sz="4" w:space="0" w:color="auto"/>
            </w:tcBorders>
          </w:tcPr>
          <w:p w14:paraId="17A278D0" w14:textId="77777777" w:rsidR="005E76D6" w:rsidRPr="00E84B35" w:rsidRDefault="005E76D6" w:rsidP="0010686B">
            <w:pPr>
              <w:jc w:val="center"/>
              <w:rPr>
                <w:b/>
                <w:bCs/>
              </w:rPr>
            </w:pPr>
            <w:r w:rsidRPr="00E84B35">
              <w:rPr>
                <w:b/>
                <w:bCs/>
              </w:rPr>
              <w:t>Frekuensi</w:t>
            </w:r>
          </w:p>
        </w:tc>
        <w:tc>
          <w:tcPr>
            <w:tcW w:w="1309" w:type="dxa"/>
            <w:tcBorders>
              <w:bottom w:val="single" w:sz="4" w:space="0" w:color="auto"/>
            </w:tcBorders>
          </w:tcPr>
          <w:p w14:paraId="4F017ED5" w14:textId="77777777" w:rsidR="005E76D6" w:rsidRPr="00E84B35" w:rsidRDefault="005E76D6" w:rsidP="0010686B">
            <w:pPr>
              <w:jc w:val="center"/>
              <w:rPr>
                <w:b/>
                <w:bCs/>
              </w:rPr>
            </w:pPr>
            <w:r w:rsidRPr="00E84B35">
              <w:rPr>
                <w:b/>
                <w:bCs/>
              </w:rPr>
              <w:t>Persentase (%)</w:t>
            </w:r>
          </w:p>
        </w:tc>
      </w:tr>
      <w:tr w:rsidR="005E76D6" w:rsidRPr="00E84B35" w14:paraId="6452B828" w14:textId="77777777" w:rsidTr="0010686B">
        <w:trPr>
          <w:trHeight w:val="285"/>
          <w:jc w:val="center"/>
        </w:trPr>
        <w:tc>
          <w:tcPr>
            <w:tcW w:w="1012" w:type="dxa"/>
            <w:tcBorders>
              <w:bottom w:val="nil"/>
            </w:tcBorders>
          </w:tcPr>
          <w:p w14:paraId="41EE6A5B" w14:textId="77777777" w:rsidR="005E76D6" w:rsidRPr="00E84B35" w:rsidRDefault="005E76D6" w:rsidP="0010686B">
            <w:pPr>
              <w:jc w:val="center"/>
            </w:pPr>
            <w:r w:rsidRPr="00E84B35">
              <w:t>55 – 63</w:t>
            </w:r>
          </w:p>
        </w:tc>
        <w:tc>
          <w:tcPr>
            <w:tcW w:w="964" w:type="dxa"/>
            <w:tcBorders>
              <w:bottom w:val="nil"/>
            </w:tcBorders>
          </w:tcPr>
          <w:p w14:paraId="7272F3E1" w14:textId="77777777" w:rsidR="005E76D6" w:rsidRPr="00E84B35" w:rsidRDefault="005E76D6" w:rsidP="0010686B">
            <w:pPr>
              <w:jc w:val="center"/>
            </w:pPr>
            <w:r w:rsidRPr="00E84B35">
              <w:t>Rendah</w:t>
            </w:r>
          </w:p>
        </w:tc>
        <w:tc>
          <w:tcPr>
            <w:tcW w:w="1243" w:type="dxa"/>
            <w:tcBorders>
              <w:bottom w:val="nil"/>
            </w:tcBorders>
          </w:tcPr>
          <w:p w14:paraId="3F03023D" w14:textId="77777777" w:rsidR="005E76D6" w:rsidRPr="00E84B35" w:rsidRDefault="005E76D6" w:rsidP="0010686B">
            <w:pPr>
              <w:jc w:val="center"/>
            </w:pPr>
            <w:r w:rsidRPr="00E84B35">
              <w:t>53</w:t>
            </w:r>
          </w:p>
        </w:tc>
        <w:tc>
          <w:tcPr>
            <w:tcW w:w="1309" w:type="dxa"/>
            <w:tcBorders>
              <w:bottom w:val="nil"/>
            </w:tcBorders>
          </w:tcPr>
          <w:p w14:paraId="7179AF9B" w14:textId="77777777" w:rsidR="005E76D6" w:rsidRPr="00E84B35" w:rsidRDefault="005E76D6" w:rsidP="0010686B">
            <w:pPr>
              <w:jc w:val="center"/>
            </w:pPr>
            <w:r w:rsidRPr="00E84B35">
              <w:t>26 %</w:t>
            </w:r>
          </w:p>
        </w:tc>
      </w:tr>
      <w:tr w:rsidR="005E76D6" w:rsidRPr="00E84B35" w14:paraId="72639DAE" w14:textId="77777777" w:rsidTr="0010686B">
        <w:trPr>
          <w:trHeight w:val="285"/>
          <w:jc w:val="center"/>
        </w:trPr>
        <w:tc>
          <w:tcPr>
            <w:tcW w:w="1012" w:type="dxa"/>
            <w:tcBorders>
              <w:top w:val="nil"/>
              <w:bottom w:val="nil"/>
            </w:tcBorders>
          </w:tcPr>
          <w:p w14:paraId="546FB145" w14:textId="77777777" w:rsidR="005E76D6" w:rsidRPr="00E84B35" w:rsidRDefault="005E76D6" w:rsidP="0010686B">
            <w:pPr>
              <w:jc w:val="center"/>
            </w:pPr>
            <w:r w:rsidRPr="00E84B35">
              <w:t>64 – 70</w:t>
            </w:r>
          </w:p>
        </w:tc>
        <w:tc>
          <w:tcPr>
            <w:tcW w:w="964" w:type="dxa"/>
            <w:tcBorders>
              <w:top w:val="nil"/>
              <w:bottom w:val="nil"/>
            </w:tcBorders>
          </w:tcPr>
          <w:p w14:paraId="5BF07CA1" w14:textId="77777777" w:rsidR="005E76D6" w:rsidRPr="00E84B35" w:rsidRDefault="005E76D6" w:rsidP="0010686B">
            <w:pPr>
              <w:jc w:val="center"/>
            </w:pPr>
            <w:r w:rsidRPr="00E84B35">
              <w:t>Sedang</w:t>
            </w:r>
          </w:p>
        </w:tc>
        <w:tc>
          <w:tcPr>
            <w:tcW w:w="1243" w:type="dxa"/>
            <w:tcBorders>
              <w:top w:val="nil"/>
              <w:bottom w:val="nil"/>
            </w:tcBorders>
          </w:tcPr>
          <w:p w14:paraId="33EA2127" w14:textId="77777777" w:rsidR="005E76D6" w:rsidRPr="00E84B35" w:rsidRDefault="005E76D6" w:rsidP="0010686B">
            <w:pPr>
              <w:jc w:val="center"/>
            </w:pPr>
            <w:r w:rsidRPr="00E84B35">
              <w:t>87</w:t>
            </w:r>
          </w:p>
        </w:tc>
        <w:tc>
          <w:tcPr>
            <w:tcW w:w="1309" w:type="dxa"/>
            <w:tcBorders>
              <w:top w:val="nil"/>
              <w:bottom w:val="nil"/>
            </w:tcBorders>
          </w:tcPr>
          <w:p w14:paraId="3806A7E4" w14:textId="77777777" w:rsidR="005E76D6" w:rsidRPr="00E84B35" w:rsidRDefault="005E76D6" w:rsidP="0010686B">
            <w:pPr>
              <w:jc w:val="center"/>
            </w:pPr>
            <w:r w:rsidRPr="00E84B35">
              <w:t>42 %</w:t>
            </w:r>
          </w:p>
        </w:tc>
      </w:tr>
      <w:tr w:rsidR="005E76D6" w:rsidRPr="00E84B35" w14:paraId="5EE17B10" w14:textId="77777777" w:rsidTr="0010686B">
        <w:trPr>
          <w:trHeight w:val="285"/>
          <w:jc w:val="center"/>
        </w:trPr>
        <w:tc>
          <w:tcPr>
            <w:tcW w:w="1012" w:type="dxa"/>
            <w:tcBorders>
              <w:top w:val="nil"/>
              <w:bottom w:val="nil"/>
            </w:tcBorders>
          </w:tcPr>
          <w:p w14:paraId="72A523D4" w14:textId="77777777" w:rsidR="005E76D6" w:rsidRPr="00E84B35" w:rsidRDefault="005E76D6" w:rsidP="0010686B">
            <w:pPr>
              <w:jc w:val="center"/>
            </w:pPr>
            <w:r w:rsidRPr="00E84B35">
              <w:t>71 – 80</w:t>
            </w:r>
          </w:p>
        </w:tc>
        <w:tc>
          <w:tcPr>
            <w:tcW w:w="964" w:type="dxa"/>
            <w:tcBorders>
              <w:top w:val="nil"/>
              <w:bottom w:val="nil"/>
            </w:tcBorders>
          </w:tcPr>
          <w:p w14:paraId="445C7387" w14:textId="77777777" w:rsidR="005E76D6" w:rsidRPr="00E84B35" w:rsidRDefault="005E76D6" w:rsidP="0010686B">
            <w:pPr>
              <w:jc w:val="center"/>
            </w:pPr>
            <w:r w:rsidRPr="00E84B35">
              <w:t>Tinggi</w:t>
            </w:r>
          </w:p>
        </w:tc>
        <w:tc>
          <w:tcPr>
            <w:tcW w:w="1243" w:type="dxa"/>
            <w:tcBorders>
              <w:top w:val="nil"/>
              <w:bottom w:val="nil"/>
            </w:tcBorders>
          </w:tcPr>
          <w:p w14:paraId="29C8D118" w14:textId="77777777" w:rsidR="005E76D6" w:rsidRPr="00E84B35" w:rsidRDefault="005E76D6" w:rsidP="0010686B">
            <w:pPr>
              <w:jc w:val="center"/>
            </w:pPr>
            <w:r w:rsidRPr="00E84B35">
              <w:t>65</w:t>
            </w:r>
          </w:p>
        </w:tc>
        <w:tc>
          <w:tcPr>
            <w:tcW w:w="1309" w:type="dxa"/>
            <w:tcBorders>
              <w:top w:val="nil"/>
              <w:bottom w:val="nil"/>
            </w:tcBorders>
          </w:tcPr>
          <w:p w14:paraId="180A5166" w14:textId="77777777" w:rsidR="005E76D6" w:rsidRPr="00E84B35" w:rsidRDefault="005E76D6" w:rsidP="0010686B">
            <w:pPr>
              <w:jc w:val="center"/>
            </w:pPr>
            <w:r w:rsidRPr="00E84B35">
              <w:t>32 %</w:t>
            </w:r>
          </w:p>
        </w:tc>
      </w:tr>
      <w:tr w:rsidR="005E76D6" w:rsidRPr="00E84B35" w14:paraId="2D796FC3" w14:textId="77777777" w:rsidTr="0010686B">
        <w:trPr>
          <w:trHeight w:val="317"/>
          <w:jc w:val="center"/>
        </w:trPr>
        <w:tc>
          <w:tcPr>
            <w:tcW w:w="1012" w:type="dxa"/>
            <w:tcBorders>
              <w:top w:val="nil"/>
              <w:left w:val="single" w:sz="4" w:space="0" w:color="auto"/>
              <w:bottom w:val="single" w:sz="4" w:space="0" w:color="auto"/>
              <w:right w:val="single" w:sz="4" w:space="0" w:color="auto"/>
            </w:tcBorders>
          </w:tcPr>
          <w:p w14:paraId="0B3AF9D2" w14:textId="77777777" w:rsidR="005E76D6" w:rsidRPr="00E84B35" w:rsidRDefault="005E76D6" w:rsidP="0010686B">
            <w:pPr>
              <w:jc w:val="center"/>
            </w:pPr>
          </w:p>
        </w:tc>
        <w:tc>
          <w:tcPr>
            <w:tcW w:w="964" w:type="dxa"/>
            <w:tcBorders>
              <w:top w:val="nil"/>
              <w:left w:val="single" w:sz="4" w:space="0" w:color="auto"/>
            </w:tcBorders>
          </w:tcPr>
          <w:p w14:paraId="708E9B11" w14:textId="77777777" w:rsidR="005E76D6" w:rsidRPr="00E84B35" w:rsidRDefault="005E76D6" w:rsidP="0010686B">
            <w:pPr>
              <w:jc w:val="center"/>
            </w:pPr>
            <w:r w:rsidRPr="00E84B35">
              <w:t>Jumlah</w:t>
            </w:r>
          </w:p>
        </w:tc>
        <w:tc>
          <w:tcPr>
            <w:tcW w:w="1243" w:type="dxa"/>
            <w:tcBorders>
              <w:top w:val="nil"/>
            </w:tcBorders>
          </w:tcPr>
          <w:p w14:paraId="29DFDAB5" w14:textId="77777777" w:rsidR="005E76D6" w:rsidRPr="00E84B35" w:rsidRDefault="005E76D6" w:rsidP="0010686B">
            <w:pPr>
              <w:jc w:val="center"/>
            </w:pPr>
            <w:r w:rsidRPr="00E84B35">
              <w:t>205</w:t>
            </w:r>
          </w:p>
        </w:tc>
        <w:tc>
          <w:tcPr>
            <w:tcW w:w="1309" w:type="dxa"/>
            <w:tcBorders>
              <w:top w:val="nil"/>
            </w:tcBorders>
          </w:tcPr>
          <w:p w14:paraId="0BD60B3A" w14:textId="77777777" w:rsidR="005E76D6" w:rsidRPr="00E84B35" w:rsidRDefault="005E76D6" w:rsidP="0010686B">
            <w:pPr>
              <w:jc w:val="center"/>
            </w:pPr>
            <w:r w:rsidRPr="00E84B35">
              <w:t>100 %</w:t>
            </w:r>
          </w:p>
        </w:tc>
      </w:tr>
    </w:tbl>
    <w:p w14:paraId="26C14E74" w14:textId="77777777" w:rsidR="005E76D6" w:rsidRDefault="005E76D6" w:rsidP="005E76D6">
      <w:pPr>
        <w:pBdr>
          <w:top w:val="nil"/>
          <w:left w:val="nil"/>
          <w:bottom w:val="nil"/>
          <w:right w:val="nil"/>
          <w:between w:val="nil"/>
        </w:pBdr>
        <w:ind w:firstLine="288"/>
        <w:jc w:val="center"/>
        <w:rPr>
          <w:color w:val="000000"/>
          <w:sz w:val="20"/>
          <w:szCs w:val="20"/>
        </w:rPr>
      </w:pPr>
    </w:p>
    <w:p w14:paraId="60EB7DF9" w14:textId="77777777" w:rsidR="005E76D6" w:rsidRDefault="005E76D6" w:rsidP="005E76D6">
      <w:pPr>
        <w:pBdr>
          <w:top w:val="nil"/>
          <w:left w:val="nil"/>
          <w:bottom w:val="nil"/>
          <w:right w:val="nil"/>
          <w:between w:val="nil"/>
        </w:pBdr>
        <w:ind w:firstLine="288"/>
        <w:jc w:val="both"/>
        <w:rPr>
          <w:color w:val="000000"/>
          <w:sz w:val="20"/>
          <w:szCs w:val="20"/>
        </w:rPr>
      </w:pPr>
      <w:r w:rsidRPr="00E84B35">
        <w:rPr>
          <w:color w:val="000000"/>
          <w:sz w:val="20"/>
          <w:szCs w:val="20"/>
        </w:rPr>
        <w:t>Berdasarkan tabel tersebut, dapat diketahui tingkat motivasi berprestasi mahasiswa angkatan 2023 semester genap tahun akademik 2023/2024 di Fakultas Psikologi dan Ilmu Pendidikan, UMSIDA. Tabel tersebut menunjukkan bahwa 26% mahasiswa memiliki motivasi berprestasi rendah. Selain itu, sebanyak 42% mahasiswa memiliki motivasi berprestasi sedang, dan 32% mahasiswa memiliki motivasi berprestasi tinggi. Selanjutnya terdapat tabel tingkat flow akademik mahasiswa angkatan 2023 semester genap tahun akademik 2023/2024 Fakultas Psikologi dan Ilmu Pendidikan, UMSIDA</w:t>
      </w:r>
      <w:r>
        <w:rPr>
          <w:color w:val="000000"/>
          <w:sz w:val="20"/>
          <w:szCs w:val="20"/>
        </w:rPr>
        <w:t>.</w:t>
      </w:r>
    </w:p>
    <w:p w14:paraId="454C9E63" w14:textId="77777777" w:rsidR="005E76D6" w:rsidRDefault="005E76D6" w:rsidP="005E76D6">
      <w:pPr>
        <w:pBdr>
          <w:top w:val="nil"/>
          <w:left w:val="nil"/>
          <w:bottom w:val="nil"/>
          <w:right w:val="nil"/>
          <w:between w:val="nil"/>
        </w:pBdr>
        <w:ind w:firstLine="288"/>
        <w:jc w:val="both"/>
        <w:rPr>
          <w:color w:val="000000"/>
          <w:sz w:val="20"/>
          <w:szCs w:val="20"/>
        </w:rPr>
      </w:pPr>
    </w:p>
    <w:p w14:paraId="27650925" w14:textId="77777777" w:rsidR="005E76D6" w:rsidRPr="00123545" w:rsidRDefault="005E76D6" w:rsidP="005E76D6">
      <w:pPr>
        <w:pStyle w:val="Caption"/>
        <w:jc w:val="center"/>
        <w:rPr>
          <w:rFonts w:cs="Times New Roman"/>
          <w:b/>
          <w:bCs/>
          <w:i w:val="0"/>
          <w:iCs w:val="0"/>
          <w:color w:val="000000"/>
          <w:sz w:val="20"/>
          <w:szCs w:val="20"/>
        </w:rPr>
      </w:pPr>
      <w:r w:rsidRPr="00123545">
        <w:rPr>
          <w:rFonts w:cs="Times New Roman"/>
          <w:b/>
          <w:bCs/>
          <w:i w:val="0"/>
          <w:iCs w:val="0"/>
          <w:sz w:val="20"/>
          <w:szCs w:val="20"/>
        </w:rPr>
        <w:t xml:space="preserve">Tabel </w:t>
      </w:r>
      <w:r w:rsidRPr="00123545">
        <w:rPr>
          <w:rFonts w:cs="Times New Roman"/>
          <w:b/>
          <w:bCs/>
          <w:i w:val="0"/>
          <w:iCs w:val="0"/>
          <w:sz w:val="20"/>
          <w:szCs w:val="20"/>
        </w:rPr>
        <w:fldChar w:fldCharType="begin"/>
      </w:r>
      <w:r w:rsidRPr="00123545">
        <w:rPr>
          <w:rFonts w:cs="Times New Roman"/>
          <w:b/>
          <w:bCs/>
          <w:i w:val="0"/>
          <w:iCs w:val="0"/>
          <w:sz w:val="20"/>
          <w:szCs w:val="20"/>
        </w:rPr>
        <w:instrText xml:space="preserve"> SEQ Table \* ARABIC </w:instrText>
      </w:r>
      <w:r w:rsidRPr="00123545">
        <w:rPr>
          <w:rFonts w:cs="Times New Roman"/>
          <w:b/>
          <w:bCs/>
          <w:i w:val="0"/>
          <w:iCs w:val="0"/>
          <w:sz w:val="20"/>
          <w:szCs w:val="20"/>
        </w:rPr>
        <w:fldChar w:fldCharType="separate"/>
      </w:r>
      <w:r w:rsidRPr="00123545">
        <w:rPr>
          <w:rFonts w:cs="Times New Roman"/>
          <w:b/>
          <w:bCs/>
          <w:i w:val="0"/>
          <w:iCs w:val="0"/>
          <w:noProof/>
          <w:sz w:val="20"/>
          <w:szCs w:val="20"/>
        </w:rPr>
        <w:t>4</w:t>
      </w:r>
      <w:r w:rsidRPr="00123545">
        <w:rPr>
          <w:rFonts w:cs="Times New Roman"/>
          <w:b/>
          <w:bCs/>
          <w:i w:val="0"/>
          <w:iCs w:val="0"/>
          <w:sz w:val="20"/>
          <w:szCs w:val="20"/>
        </w:rPr>
        <w:fldChar w:fldCharType="end"/>
      </w:r>
      <w:r w:rsidRPr="00123545">
        <w:rPr>
          <w:rFonts w:cs="Times New Roman"/>
          <w:b/>
          <w:bCs/>
          <w:i w:val="0"/>
          <w:iCs w:val="0"/>
          <w:sz w:val="20"/>
          <w:szCs w:val="20"/>
        </w:rPr>
        <w:t>. Kategorisasi Flow akademik</w:t>
      </w:r>
    </w:p>
    <w:tbl>
      <w:tblPr>
        <w:tblStyle w:val="TableGrid"/>
        <w:tblpPr w:leftFromText="180" w:rightFromText="180" w:vertAnchor="text" w:horzAnchor="page" w:tblpXSpec="center" w:tblpY="91"/>
        <w:tblW w:w="0" w:type="auto"/>
        <w:tblLayout w:type="fixed"/>
        <w:tblLook w:val="04A0" w:firstRow="1" w:lastRow="0" w:firstColumn="1" w:lastColumn="0" w:noHBand="0" w:noVBand="1"/>
      </w:tblPr>
      <w:tblGrid>
        <w:gridCol w:w="1028"/>
        <w:gridCol w:w="1134"/>
        <w:gridCol w:w="1275"/>
        <w:gridCol w:w="1774"/>
      </w:tblGrid>
      <w:tr w:rsidR="005E76D6" w:rsidRPr="00E84B35" w14:paraId="66764186" w14:textId="77777777" w:rsidTr="0010686B">
        <w:trPr>
          <w:trHeight w:val="296"/>
        </w:trPr>
        <w:tc>
          <w:tcPr>
            <w:tcW w:w="1028" w:type="dxa"/>
            <w:tcBorders>
              <w:bottom w:val="single" w:sz="4" w:space="0" w:color="auto"/>
            </w:tcBorders>
          </w:tcPr>
          <w:p w14:paraId="6A1C875D" w14:textId="77777777" w:rsidR="005E76D6" w:rsidRPr="00E84B35" w:rsidRDefault="005E76D6" w:rsidP="0010686B">
            <w:pPr>
              <w:jc w:val="center"/>
              <w:rPr>
                <w:b/>
                <w:bCs/>
              </w:rPr>
            </w:pPr>
            <w:r w:rsidRPr="00E84B35">
              <w:rPr>
                <w:b/>
                <w:bCs/>
              </w:rPr>
              <w:t>Skor</w:t>
            </w:r>
          </w:p>
        </w:tc>
        <w:tc>
          <w:tcPr>
            <w:tcW w:w="1134" w:type="dxa"/>
            <w:tcBorders>
              <w:bottom w:val="single" w:sz="4" w:space="0" w:color="auto"/>
            </w:tcBorders>
          </w:tcPr>
          <w:p w14:paraId="6381DA18" w14:textId="77777777" w:rsidR="005E76D6" w:rsidRPr="00E84B35" w:rsidRDefault="005E76D6" w:rsidP="0010686B">
            <w:pPr>
              <w:jc w:val="center"/>
              <w:rPr>
                <w:b/>
                <w:bCs/>
              </w:rPr>
            </w:pPr>
            <w:r w:rsidRPr="00E84B35">
              <w:rPr>
                <w:b/>
                <w:bCs/>
              </w:rPr>
              <w:t>Kategori</w:t>
            </w:r>
          </w:p>
        </w:tc>
        <w:tc>
          <w:tcPr>
            <w:tcW w:w="1275" w:type="dxa"/>
            <w:tcBorders>
              <w:bottom w:val="single" w:sz="4" w:space="0" w:color="auto"/>
            </w:tcBorders>
          </w:tcPr>
          <w:p w14:paraId="0798A65C" w14:textId="77777777" w:rsidR="005E76D6" w:rsidRPr="00E84B35" w:rsidRDefault="005E76D6" w:rsidP="0010686B">
            <w:pPr>
              <w:jc w:val="center"/>
              <w:rPr>
                <w:b/>
                <w:bCs/>
              </w:rPr>
            </w:pPr>
            <w:r w:rsidRPr="00E84B35">
              <w:rPr>
                <w:b/>
                <w:bCs/>
              </w:rPr>
              <w:t>Frekuensi</w:t>
            </w:r>
          </w:p>
        </w:tc>
        <w:tc>
          <w:tcPr>
            <w:tcW w:w="1774" w:type="dxa"/>
            <w:tcBorders>
              <w:bottom w:val="single" w:sz="4" w:space="0" w:color="auto"/>
            </w:tcBorders>
          </w:tcPr>
          <w:p w14:paraId="0632D085" w14:textId="77777777" w:rsidR="005E76D6" w:rsidRPr="00E84B35" w:rsidRDefault="005E76D6" w:rsidP="0010686B">
            <w:pPr>
              <w:jc w:val="center"/>
              <w:rPr>
                <w:b/>
                <w:bCs/>
              </w:rPr>
            </w:pPr>
            <w:r w:rsidRPr="00E84B35">
              <w:rPr>
                <w:b/>
                <w:bCs/>
              </w:rPr>
              <w:t>Persentase (%)</w:t>
            </w:r>
          </w:p>
        </w:tc>
      </w:tr>
      <w:tr w:rsidR="005E76D6" w:rsidRPr="00E84B35" w14:paraId="4C36045E" w14:textId="77777777" w:rsidTr="0010686B">
        <w:trPr>
          <w:trHeight w:val="296"/>
        </w:trPr>
        <w:tc>
          <w:tcPr>
            <w:tcW w:w="1028" w:type="dxa"/>
            <w:tcBorders>
              <w:bottom w:val="nil"/>
            </w:tcBorders>
          </w:tcPr>
          <w:p w14:paraId="61BCAF42" w14:textId="77777777" w:rsidR="005E76D6" w:rsidRPr="00E84B35" w:rsidRDefault="005E76D6" w:rsidP="0010686B">
            <w:pPr>
              <w:jc w:val="center"/>
            </w:pPr>
            <w:r w:rsidRPr="00E84B35">
              <w:t>20 – 24</w:t>
            </w:r>
          </w:p>
        </w:tc>
        <w:tc>
          <w:tcPr>
            <w:tcW w:w="1134" w:type="dxa"/>
            <w:tcBorders>
              <w:bottom w:val="nil"/>
            </w:tcBorders>
          </w:tcPr>
          <w:p w14:paraId="1E9C614D" w14:textId="77777777" w:rsidR="005E76D6" w:rsidRPr="00E84B35" w:rsidRDefault="005E76D6" w:rsidP="0010686B">
            <w:pPr>
              <w:jc w:val="center"/>
            </w:pPr>
            <w:r w:rsidRPr="00E84B35">
              <w:t>Rendah</w:t>
            </w:r>
          </w:p>
        </w:tc>
        <w:tc>
          <w:tcPr>
            <w:tcW w:w="1275" w:type="dxa"/>
            <w:tcBorders>
              <w:bottom w:val="nil"/>
            </w:tcBorders>
          </w:tcPr>
          <w:p w14:paraId="704D9725" w14:textId="77777777" w:rsidR="005E76D6" w:rsidRPr="00E84B35" w:rsidRDefault="005E76D6" w:rsidP="0010686B">
            <w:pPr>
              <w:jc w:val="center"/>
            </w:pPr>
            <w:r w:rsidRPr="00E84B35">
              <w:t>33</w:t>
            </w:r>
          </w:p>
        </w:tc>
        <w:tc>
          <w:tcPr>
            <w:tcW w:w="1774" w:type="dxa"/>
            <w:tcBorders>
              <w:bottom w:val="nil"/>
            </w:tcBorders>
          </w:tcPr>
          <w:p w14:paraId="6BAC4DEA" w14:textId="77777777" w:rsidR="005E76D6" w:rsidRPr="00E84B35" w:rsidRDefault="005E76D6" w:rsidP="0010686B">
            <w:pPr>
              <w:jc w:val="center"/>
            </w:pPr>
            <w:r w:rsidRPr="00E84B35">
              <w:t>16 %</w:t>
            </w:r>
          </w:p>
        </w:tc>
      </w:tr>
      <w:tr w:rsidR="005E76D6" w:rsidRPr="00E84B35" w14:paraId="390F85AA" w14:textId="77777777" w:rsidTr="0010686B">
        <w:trPr>
          <w:trHeight w:val="296"/>
        </w:trPr>
        <w:tc>
          <w:tcPr>
            <w:tcW w:w="1028" w:type="dxa"/>
            <w:tcBorders>
              <w:top w:val="nil"/>
              <w:bottom w:val="nil"/>
            </w:tcBorders>
          </w:tcPr>
          <w:p w14:paraId="4F525573" w14:textId="77777777" w:rsidR="005E76D6" w:rsidRPr="00E84B35" w:rsidRDefault="005E76D6" w:rsidP="0010686B">
            <w:pPr>
              <w:jc w:val="center"/>
            </w:pPr>
            <w:r w:rsidRPr="00E84B35">
              <w:t>25 – 29</w:t>
            </w:r>
          </w:p>
        </w:tc>
        <w:tc>
          <w:tcPr>
            <w:tcW w:w="1134" w:type="dxa"/>
            <w:tcBorders>
              <w:top w:val="nil"/>
              <w:bottom w:val="nil"/>
            </w:tcBorders>
          </w:tcPr>
          <w:p w14:paraId="24A50BAC" w14:textId="77777777" w:rsidR="005E76D6" w:rsidRPr="00E84B35" w:rsidRDefault="005E76D6" w:rsidP="0010686B">
            <w:pPr>
              <w:jc w:val="center"/>
            </w:pPr>
            <w:r w:rsidRPr="00E84B35">
              <w:t>Sedang</w:t>
            </w:r>
          </w:p>
        </w:tc>
        <w:tc>
          <w:tcPr>
            <w:tcW w:w="1275" w:type="dxa"/>
            <w:tcBorders>
              <w:top w:val="nil"/>
              <w:bottom w:val="nil"/>
            </w:tcBorders>
          </w:tcPr>
          <w:p w14:paraId="6ABD98BA" w14:textId="77777777" w:rsidR="005E76D6" w:rsidRPr="00E84B35" w:rsidRDefault="005E76D6" w:rsidP="0010686B">
            <w:pPr>
              <w:jc w:val="center"/>
            </w:pPr>
            <w:r w:rsidRPr="00E84B35">
              <w:t>126</w:t>
            </w:r>
          </w:p>
        </w:tc>
        <w:tc>
          <w:tcPr>
            <w:tcW w:w="1774" w:type="dxa"/>
            <w:tcBorders>
              <w:top w:val="nil"/>
              <w:bottom w:val="nil"/>
            </w:tcBorders>
          </w:tcPr>
          <w:p w14:paraId="06991035" w14:textId="77777777" w:rsidR="005E76D6" w:rsidRPr="00E84B35" w:rsidRDefault="005E76D6" w:rsidP="0010686B">
            <w:pPr>
              <w:jc w:val="center"/>
            </w:pPr>
            <w:r w:rsidRPr="00E84B35">
              <w:t>61 %</w:t>
            </w:r>
          </w:p>
        </w:tc>
      </w:tr>
      <w:tr w:rsidR="005E76D6" w:rsidRPr="00E84B35" w14:paraId="46C56AFB" w14:textId="77777777" w:rsidTr="0010686B">
        <w:trPr>
          <w:trHeight w:val="312"/>
        </w:trPr>
        <w:tc>
          <w:tcPr>
            <w:tcW w:w="1028" w:type="dxa"/>
            <w:tcBorders>
              <w:top w:val="nil"/>
              <w:bottom w:val="nil"/>
            </w:tcBorders>
          </w:tcPr>
          <w:p w14:paraId="23879E61" w14:textId="77777777" w:rsidR="005E76D6" w:rsidRPr="00E84B35" w:rsidRDefault="005E76D6" w:rsidP="0010686B">
            <w:pPr>
              <w:jc w:val="center"/>
            </w:pPr>
            <w:r w:rsidRPr="00E84B35">
              <w:t>30 – 35</w:t>
            </w:r>
          </w:p>
        </w:tc>
        <w:tc>
          <w:tcPr>
            <w:tcW w:w="1134" w:type="dxa"/>
            <w:tcBorders>
              <w:top w:val="nil"/>
              <w:bottom w:val="nil"/>
            </w:tcBorders>
          </w:tcPr>
          <w:p w14:paraId="24D3BDFD" w14:textId="77777777" w:rsidR="005E76D6" w:rsidRPr="00E84B35" w:rsidRDefault="005E76D6" w:rsidP="0010686B">
            <w:pPr>
              <w:jc w:val="center"/>
            </w:pPr>
            <w:r w:rsidRPr="00E84B35">
              <w:t>Tinggi</w:t>
            </w:r>
          </w:p>
        </w:tc>
        <w:tc>
          <w:tcPr>
            <w:tcW w:w="1275" w:type="dxa"/>
            <w:tcBorders>
              <w:top w:val="nil"/>
              <w:bottom w:val="nil"/>
            </w:tcBorders>
          </w:tcPr>
          <w:p w14:paraId="6A2C6913" w14:textId="77777777" w:rsidR="005E76D6" w:rsidRPr="00E84B35" w:rsidRDefault="005E76D6" w:rsidP="0010686B">
            <w:pPr>
              <w:jc w:val="center"/>
            </w:pPr>
            <w:r w:rsidRPr="00E84B35">
              <w:t>46</w:t>
            </w:r>
          </w:p>
        </w:tc>
        <w:tc>
          <w:tcPr>
            <w:tcW w:w="1774" w:type="dxa"/>
            <w:tcBorders>
              <w:top w:val="nil"/>
              <w:bottom w:val="nil"/>
            </w:tcBorders>
          </w:tcPr>
          <w:p w14:paraId="44C7F9C2" w14:textId="77777777" w:rsidR="005E76D6" w:rsidRPr="00E84B35" w:rsidRDefault="005E76D6" w:rsidP="0010686B">
            <w:pPr>
              <w:jc w:val="center"/>
            </w:pPr>
            <w:r w:rsidRPr="00E84B35">
              <w:t>22 %</w:t>
            </w:r>
          </w:p>
        </w:tc>
      </w:tr>
      <w:tr w:rsidR="005E76D6" w:rsidRPr="00E84B35" w14:paraId="07243FED" w14:textId="77777777" w:rsidTr="0010686B">
        <w:trPr>
          <w:trHeight w:val="74"/>
        </w:trPr>
        <w:tc>
          <w:tcPr>
            <w:tcW w:w="1028" w:type="dxa"/>
            <w:tcBorders>
              <w:top w:val="nil"/>
              <w:left w:val="single" w:sz="4" w:space="0" w:color="auto"/>
              <w:bottom w:val="single" w:sz="4" w:space="0" w:color="auto"/>
              <w:right w:val="single" w:sz="4" w:space="0" w:color="auto"/>
            </w:tcBorders>
          </w:tcPr>
          <w:p w14:paraId="1EA6016B" w14:textId="77777777" w:rsidR="005E76D6" w:rsidRPr="00E84B35" w:rsidRDefault="005E76D6" w:rsidP="0010686B">
            <w:pPr>
              <w:jc w:val="center"/>
            </w:pPr>
          </w:p>
        </w:tc>
        <w:tc>
          <w:tcPr>
            <w:tcW w:w="1134" w:type="dxa"/>
            <w:tcBorders>
              <w:top w:val="nil"/>
              <w:left w:val="single" w:sz="4" w:space="0" w:color="auto"/>
            </w:tcBorders>
          </w:tcPr>
          <w:p w14:paraId="61911E5E" w14:textId="77777777" w:rsidR="005E76D6" w:rsidRPr="00E84B35" w:rsidRDefault="005E76D6" w:rsidP="0010686B">
            <w:pPr>
              <w:jc w:val="center"/>
            </w:pPr>
            <w:r w:rsidRPr="00E84B35">
              <w:t>Jumlah</w:t>
            </w:r>
          </w:p>
        </w:tc>
        <w:tc>
          <w:tcPr>
            <w:tcW w:w="1275" w:type="dxa"/>
            <w:tcBorders>
              <w:top w:val="nil"/>
            </w:tcBorders>
          </w:tcPr>
          <w:p w14:paraId="1746D458" w14:textId="77777777" w:rsidR="005E76D6" w:rsidRPr="00E84B35" w:rsidRDefault="005E76D6" w:rsidP="0010686B">
            <w:pPr>
              <w:jc w:val="center"/>
            </w:pPr>
            <w:r w:rsidRPr="00E84B35">
              <w:t>205</w:t>
            </w:r>
          </w:p>
        </w:tc>
        <w:tc>
          <w:tcPr>
            <w:tcW w:w="1774" w:type="dxa"/>
            <w:tcBorders>
              <w:top w:val="nil"/>
            </w:tcBorders>
          </w:tcPr>
          <w:p w14:paraId="134CDF6E" w14:textId="77777777" w:rsidR="005E76D6" w:rsidRPr="00E84B35" w:rsidRDefault="005E76D6" w:rsidP="0010686B">
            <w:pPr>
              <w:jc w:val="center"/>
            </w:pPr>
            <w:r w:rsidRPr="00E84B35">
              <w:t>100 %</w:t>
            </w:r>
          </w:p>
        </w:tc>
      </w:tr>
    </w:tbl>
    <w:p w14:paraId="14B52D15" w14:textId="77777777" w:rsidR="005E76D6" w:rsidRDefault="005E76D6" w:rsidP="005E76D6">
      <w:pPr>
        <w:pBdr>
          <w:top w:val="nil"/>
          <w:left w:val="nil"/>
          <w:bottom w:val="nil"/>
          <w:right w:val="nil"/>
          <w:between w:val="nil"/>
        </w:pBdr>
        <w:rPr>
          <w:color w:val="000000"/>
          <w:sz w:val="20"/>
          <w:szCs w:val="20"/>
        </w:rPr>
      </w:pPr>
    </w:p>
    <w:p w14:paraId="058F4B22" w14:textId="77777777" w:rsidR="005E76D6" w:rsidRDefault="005E76D6" w:rsidP="005E76D6">
      <w:pPr>
        <w:pBdr>
          <w:top w:val="nil"/>
          <w:left w:val="nil"/>
          <w:bottom w:val="nil"/>
          <w:right w:val="nil"/>
          <w:between w:val="nil"/>
        </w:pBdr>
        <w:ind w:firstLine="288"/>
        <w:jc w:val="both"/>
        <w:rPr>
          <w:color w:val="000000"/>
          <w:sz w:val="20"/>
          <w:szCs w:val="20"/>
        </w:rPr>
      </w:pPr>
    </w:p>
    <w:p w14:paraId="65421C49" w14:textId="77777777" w:rsidR="005E76D6" w:rsidRDefault="005E76D6" w:rsidP="005E76D6">
      <w:pPr>
        <w:pBdr>
          <w:top w:val="nil"/>
          <w:left w:val="nil"/>
          <w:bottom w:val="nil"/>
          <w:right w:val="nil"/>
          <w:between w:val="nil"/>
        </w:pBdr>
        <w:ind w:firstLine="288"/>
        <w:jc w:val="both"/>
        <w:rPr>
          <w:color w:val="000000"/>
          <w:sz w:val="20"/>
          <w:szCs w:val="20"/>
        </w:rPr>
      </w:pPr>
    </w:p>
    <w:p w14:paraId="3443FA8E" w14:textId="77777777" w:rsidR="005E76D6" w:rsidRDefault="005E76D6" w:rsidP="005E76D6">
      <w:pPr>
        <w:pBdr>
          <w:top w:val="nil"/>
          <w:left w:val="nil"/>
          <w:bottom w:val="nil"/>
          <w:right w:val="nil"/>
          <w:between w:val="nil"/>
        </w:pBdr>
        <w:ind w:firstLine="288"/>
        <w:jc w:val="both"/>
        <w:rPr>
          <w:color w:val="000000"/>
          <w:sz w:val="20"/>
          <w:szCs w:val="20"/>
        </w:rPr>
      </w:pPr>
    </w:p>
    <w:p w14:paraId="2EEFF1DA" w14:textId="77777777" w:rsidR="005E76D6" w:rsidRDefault="005E76D6" w:rsidP="005E76D6">
      <w:pPr>
        <w:pBdr>
          <w:top w:val="nil"/>
          <w:left w:val="nil"/>
          <w:bottom w:val="nil"/>
          <w:right w:val="nil"/>
          <w:between w:val="nil"/>
        </w:pBdr>
        <w:ind w:firstLine="288"/>
        <w:jc w:val="both"/>
        <w:rPr>
          <w:color w:val="000000"/>
          <w:sz w:val="20"/>
          <w:szCs w:val="20"/>
        </w:rPr>
      </w:pPr>
    </w:p>
    <w:p w14:paraId="461E10FC" w14:textId="77777777" w:rsidR="005E76D6" w:rsidRDefault="005E76D6" w:rsidP="005E76D6">
      <w:pPr>
        <w:pBdr>
          <w:top w:val="nil"/>
          <w:left w:val="nil"/>
          <w:bottom w:val="nil"/>
          <w:right w:val="nil"/>
          <w:between w:val="nil"/>
        </w:pBdr>
        <w:ind w:firstLine="288"/>
        <w:jc w:val="both"/>
        <w:rPr>
          <w:color w:val="000000"/>
          <w:sz w:val="20"/>
          <w:szCs w:val="20"/>
        </w:rPr>
      </w:pPr>
    </w:p>
    <w:p w14:paraId="0A7E76C1" w14:textId="77777777" w:rsidR="005E76D6" w:rsidRDefault="005E76D6" w:rsidP="005E76D6">
      <w:pPr>
        <w:pBdr>
          <w:top w:val="nil"/>
          <w:left w:val="nil"/>
          <w:bottom w:val="nil"/>
          <w:right w:val="nil"/>
          <w:between w:val="nil"/>
        </w:pBdr>
        <w:ind w:firstLine="288"/>
        <w:jc w:val="both"/>
        <w:rPr>
          <w:color w:val="000000"/>
          <w:sz w:val="20"/>
          <w:szCs w:val="20"/>
        </w:rPr>
      </w:pPr>
    </w:p>
    <w:p w14:paraId="309E9079" w14:textId="77777777" w:rsidR="005E76D6" w:rsidRDefault="005E76D6" w:rsidP="005E76D6">
      <w:pPr>
        <w:pBdr>
          <w:top w:val="nil"/>
          <w:left w:val="nil"/>
          <w:bottom w:val="nil"/>
          <w:right w:val="nil"/>
          <w:between w:val="nil"/>
        </w:pBdr>
        <w:jc w:val="both"/>
        <w:rPr>
          <w:color w:val="000000"/>
          <w:sz w:val="20"/>
          <w:szCs w:val="20"/>
        </w:rPr>
      </w:pPr>
    </w:p>
    <w:p w14:paraId="4E193AF0" w14:textId="77777777" w:rsidR="005E76D6" w:rsidRDefault="005E76D6" w:rsidP="005E76D6">
      <w:pPr>
        <w:pBdr>
          <w:top w:val="nil"/>
          <w:left w:val="nil"/>
          <w:bottom w:val="nil"/>
          <w:right w:val="nil"/>
          <w:between w:val="nil"/>
        </w:pBdr>
        <w:ind w:firstLine="288"/>
        <w:jc w:val="both"/>
        <w:rPr>
          <w:color w:val="000000"/>
          <w:sz w:val="20"/>
          <w:szCs w:val="20"/>
        </w:rPr>
      </w:pPr>
      <w:r w:rsidRPr="00E84B35">
        <w:rPr>
          <w:color w:val="000000"/>
          <w:sz w:val="20"/>
          <w:szCs w:val="20"/>
        </w:rPr>
        <w:t>Berdasarkan tabel tersebut, dapat diamati tingkat flow akademik pada Mahasiswa Angkatan 2023 Semester Genap Tahun Akademik 2023/2024. Tabel tersebut mengindikasikan bahwa sebanyak 16% mahasiswa memiliki tingkat flow akademik yang rendah. Kemudian mahasiswa yang memiliki tingkat flow akademik yang sedang sebanyak 61%. Sedangkan mahasiswa yang memiliki tingkat flow akademik yang tinggi terdapat 22%</w:t>
      </w:r>
      <w:r>
        <w:rPr>
          <w:color w:val="000000"/>
          <w:sz w:val="20"/>
          <w:szCs w:val="20"/>
        </w:rPr>
        <w:t>.</w:t>
      </w:r>
    </w:p>
    <w:p w14:paraId="3C674748" w14:textId="77777777" w:rsidR="00990BF3" w:rsidRDefault="00990BF3"/>
    <w:sectPr w:rsidR="00990B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eeSans">
    <w:altName w:val="Cambria"/>
    <w:charset w:val="01"/>
    <w:family w:val="auto"/>
    <w:pitch w:val="variable"/>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086F85"/>
    <w:multiLevelType w:val="hybridMultilevel"/>
    <w:tmpl w:val="29D09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81784E"/>
    <w:multiLevelType w:val="hybridMultilevel"/>
    <w:tmpl w:val="737E2CF0"/>
    <w:lvl w:ilvl="0" w:tplc="58007B98">
      <w:start w:val="1"/>
      <w:numFmt w:val="upperLetter"/>
      <w:lvlText w:val="%1."/>
      <w:lvlJc w:val="left"/>
      <w:pPr>
        <w:ind w:left="720" w:hanging="360"/>
      </w:pPr>
      <w:rPr>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6D6"/>
    <w:rsid w:val="005E76D6"/>
    <w:rsid w:val="00990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D9BCC"/>
  <w15:chartTrackingRefBased/>
  <w15:docId w15:val="{790859A7-D282-4AF7-AC6A-EC633B223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6D6"/>
    <w:pPr>
      <w:suppressAutoHyphens/>
      <w:spacing w:after="0" w:line="240" w:lineRule="auto"/>
    </w:pPr>
    <w:rPr>
      <w:rFonts w:ascii="Times New Roman" w:eastAsia="Times New Roman" w:hAnsi="Times New Roman" w:cs="Times New Roman"/>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rsid w:val="005E76D6"/>
    <w:pPr>
      <w:suppressLineNumbers/>
      <w:spacing w:before="120" w:after="120"/>
    </w:pPr>
    <w:rPr>
      <w:rFonts w:cs="FreeSans"/>
      <w:i/>
      <w:iCs/>
    </w:rPr>
  </w:style>
  <w:style w:type="paragraph" w:styleId="ListParagraph">
    <w:name w:val="List Paragraph"/>
    <w:basedOn w:val="Normal"/>
    <w:uiPriority w:val="34"/>
    <w:qFormat/>
    <w:rsid w:val="005E76D6"/>
    <w:pPr>
      <w:ind w:left="720"/>
      <w:contextualSpacing/>
    </w:pPr>
  </w:style>
  <w:style w:type="table" w:styleId="TableGrid">
    <w:name w:val="Table Grid"/>
    <w:basedOn w:val="TableNormal"/>
    <w:uiPriority w:val="39"/>
    <w:rsid w:val="005E76D6"/>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819</Words>
  <Characters>4671</Characters>
  <Application>Microsoft Office Word</Application>
  <DocSecurity>0</DocSecurity>
  <Lines>38</Lines>
  <Paragraphs>10</Paragraphs>
  <ScaleCrop>false</ScaleCrop>
  <Company/>
  <LinksUpToDate>false</LinksUpToDate>
  <CharactersWithSpaces>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berliana nafa</dc:creator>
  <cp:keywords/>
  <dc:description/>
  <cp:lastModifiedBy>berliana nafa</cp:lastModifiedBy>
  <cp:revision>1</cp:revision>
  <dcterms:created xsi:type="dcterms:W3CDTF">2024-07-31T08:30:00Z</dcterms:created>
  <dcterms:modified xsi:type="dcterms:W3CDTF">2024-07-31T08:30:00Z</dcterms:modified>
</cp:coreProperties>
</file>