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b w:val="on"/>
          <w:color w:val="000000"/>
          <w:rFonts w:ascii="Arial" w:hAnsi="Arial" w:cs="Arial" w:eastAsia="Arial"/>
          <w:sz w:val="28"/>
        </w:rPr>
        <w:t/>
        <w:cr/>
        <w:t>NPar Tests</w:t>
        <w:cr/>
      </w:r>
    </w:p>
    <w:p>
      <w:r/>
    </w:p>
    <w:tbl>
      <w:tblPr>
        <w:tblW w:w="0" w:type="auto"/>
        <w:jc w:val="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02-JUL-2024 21:57:13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DataSet0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Statistics for each test are based on all cases with valid data for the variable(s) used in that test.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NPAR TESTS</w:t>
              <w:br/>
              <w:t>/K-S(NORMAL)=RES_1</w:t>
              <w:br/>
              <w:t>/MISSING ANALYSIS</w:t>
              <w:br/>
              <w:t>/KS_SIM CIN(99) SAMPLES(10000).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00:00:00,09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00:00:00,11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Number of Cases Allowed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786432</w:t>
            </w:r>
          </w:p>
        </w:tc>
      </w:tr>
    </w:tbl>
    <w:tbl>
      <w:tblPr>
        <w:tblW w:w="0" w:type="auto"/>
        <w:jc w:val="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a. Based on availability of workspace memory.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"/>
        <w:tblLayout w:type="fixed"/>
      </w:tblPr>
      <w:tblGrid>
        <w:gridCol w:w="2754"/>
        <w:gridCol w:w="2499"/>
        <w:gridCol w:w="1479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One-Sample Kolmogorov-Smirnov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Unstandardized Residual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Normal Parameters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Mean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.0000000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Std. Deviation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9.22684434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Most Extreme Differences</w:t>
            </w:r>
          </w:p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Absolute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.092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Positive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.080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Negative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-.092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Test Statistic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.092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Asymp. Sig. (2-tailed)</w:t>
            </w:r>
            <w:r>
              <w:rPr>
                <w:vertAlign w:val="superscript"/>
              </w:rPr>
              <w:t>c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.200</w:t>
            </w:r>
            <w:r>
              <w:rPr>
                <w:vertAlign w:val="superscript"/>
              </w:rPr>
              <w:t>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Monte Carlo Sig. (2-tailed)</w:t>
            </w:r>
            <w:r>
              <w:rPr>
                <w:vertAlign w:val="superscript"/>
              </w:rPr>
              <w:t>e</w:t>
            </w:r>
          </w:p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Sig.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.773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99% Confidence Interval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Lower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.762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Upper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.783</w:t>
            </w:r>
          </w:p>
        </w:tc>
      </w:tr>
    </w:tbl>
    <w:tbl>
      <w:tblPr>
        <w:tblW w:w="0" w:type="auto"/>
        <w:jc w:val=""/>
        <w:tblLayout w:type="fixed"/>
      </w:tblPr>
      <w:tblGrid>
        <w:gridCol w:w="2754"/>
        <w:gridCol w:w="2499"/>
        <w:gridCol w:w="1479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a. Test distribution is Normal.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b. Calculated from data.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c. Lilliefors Significance Correction.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d. This is a lower bound of the true significance.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e. Lilliefors' method based on 10000 Monte Carlo samples with starting seed 2000000.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b w:val="on"/>
          <w:color w:val="000000"/>
          <w:rFonts w:ascii="Arial" w:hAnsi="Arial" w:cs="Arial" w:eastAsia="Arial"/>
          <w:sz w:val="28"/>
        </w:rPr>
        <w:t/>
        <w:cr/>
        <w:t>Means</w:t>
        <w:cr/>
      </w:r>
    </w:p>
    <w:p>
      <w:r/>
    </w:p>
    <w:tbl>
      <w:tblPr>
        <w:tblW w:w="0" w:type="auto"/>
        <w:jc w:val="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02-JUL-2024 22:53:43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For each dependent variable in a table, user-defined missing values for the dependent and all grouping variables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Cases used for each table have no missing values in any independent variable, and not all dependent variables have missing values.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MEANS TABLES=Y BY X</w:t>
              <w:br/>
              <w:t>/CELLS=MEAN COUNT STDDEV</w:t>
              <w:br/>
              <w:t>/STATISTICS LINEARITY.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00:00:00,02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00:00:00,12</w:t>
            </w:r>
          </w:p>
        </w:tc>
      </w:tr>
    </w:tbl>
    <w:p>
      <w:pPr>
        <w:spacing w:before="200"/>
        <w:jc w:val="left"/>
      </w:pPr>
      <w:r/>
      <w:r>
        <w:rPr>
          <w:color w:val="000000"/>
          <w:rFonts w:ascii="Courier New" w:hAnsi="Courier New" w:cs="Courier New" w:eastAsia="Courier New"/>
          <w:sz w:val="24"/>
        </w:rPr>
        <w:t/>
        <w:cr/>
        <w:t xml:space="preserve">[DataSet1] </w:t>
        <w:cr/>
      </w:r>
    </w:p>
    <w:p>
      <w:r/>
    </w:p>
    <w:tbl>
      <w:tblPr>
        <w:tblW w:w="0" w:type="auto"/>
        <w:jc w:val=""/>
        <w:tblLayout w:type="fixed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Included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Excluded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Hasil Belajar Bahasa Arab  * Latar Belakang Pendidikan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100.0%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100.0%</w:t>
            </w:r>
          </w:p>
        </w:tc>
      </w:tr>
    </w:tbl>
    <w:p>
      <w:r/>
    </w:p>
    <w:tbl>
      <w:tblPr>
        <w:tblW w:w="0" w:type="auto"/>
        <w:jc w:val=""/>
        <w:tblLayout w:type="fixed"/>
      </w:tblPr>
      <w:tblGrid>
        <w:gridCol w:w="2754"/>
        <w:gridCol w:w="1156"/>
        <w:gridCol w:w="1156"/>
        <w:gridCol w:w="1513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Report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Hasil Belajar Bahasa Arab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Latar Belakang Pendidikan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Mean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Std. Deviation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35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60.00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40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70.00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50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60.00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55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70.00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60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67.50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3.536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65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85.00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70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78.75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7.500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75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81.00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11.402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80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76.25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12.500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85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75.00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7.071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90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80.00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95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80.00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11.726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76.25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10.240</w:t>
            </w:r>
          </w:p>
        </w:tc>
      </w:tr>
    </w:tbl>
    <w:p>
      <w:r/>
    </w:p>
    <w:tbl>
      <w:tblPr>
        <w:tblW w:w="0" w:type="auto"/>
        <w:jc w:val=""/>
        <w:tblLayout w:type="fixed"/>
      </w:tblPr>
      <w:tblGrid>
        <w:gridCol w:w="2788"/>
        <w:gridCol w:w="1802"/>
        <w:gridCol w:w="2414"/>
        <w:gridCol w:w="166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ANOVA Table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Sum of Squares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df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Hasil Belajar Bahasa Arab * Latar Belakang Pendidikan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Between Groups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(Combined)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1061.250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Linearity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532.614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Deviation from Linearity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528.636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Within Groups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1770.000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16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2831.250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27</w:t>
            </w:r>
          </w:p>
        </w:tc>
      </w:tr>
    </w:tbl>
    <w:p>
      <w:r/>
    </w:p>
    <w:tbl>
      <w:tblPr>
        <w:tblW w:w="0" w:type="auto"/>
        <w:jc w:val=""/>
        <w:tblLayout w:type="fixed"/>
      </w:tblPr>
      <w:tblGrid>
        <w:gridCol w:w="2788"/>
        <w:gridCol w:w="1802"/>
        <w:gridCol w:w="2414"/>
        <w:gridCol w:w="147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ANOVA Table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Mean Square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F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Hasil Belajar Bahasa Arab * Latar Belakang Pendidikan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Between Groups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(Combined)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96.477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.872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Linearity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532.614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4.815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Deviation from Linearity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52.864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.478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Within Groups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110.625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</w:tbl>
    <w:p>
      <w:r/>
    </w:p>
    <w:tbl>
      <w:tblPr>
        <w:tblW w:w="0" w:type="auto"/>
        <w:jc w:val=""/>
        <w:tblLayout w:type="fixed"/>
      </w:tblPr>
      <w:tblGrid>
        <w:gridCol w:w="2788"/>
        <w:gridCol w:w="1802"/>
        <w:gridCol w:w="2414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ANOVA Table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Sig.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Hasil Belajar Bahasa Arab * Latar Belakang Pendidikan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Between Groups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(Combined)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.582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Linearity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.043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Deviation from Linearity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.881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Within Groups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p>
      <w:r/>
    </w:p>
    <w:tbl>
      <w:tblPr>
        <w:tblW w:w="0" w:type="auto"/>
        <w:jc w:val=""/>
        <w:tblLayout w:type="fixed"/>
      </w:tblPr>
      <w:tblGrid>
        <w:gridCol w:w="2788"/>
        <w:gridCol w:w="1156"/>
        <w:gridCol w:w="1241"/>
        <w:gridCol w:w="1156"/>
        <w:gridCol w:w="139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Measures of Association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R Squared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Eta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Eta Squared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Hasil Belajar Bahasa Arab * Latar Belakang Pendidikan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.434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.188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.612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.375</w:t>
            </w:r>
          </w:p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2024-07-02T15:54:22Z</dcterms:created>
  <dc:creator>IBM SPSS Statistics</dc:creator>
</cp:coreProperties>
</file>