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80D30" w14:textId="04C7455E" w:rsidR="0084395A" w:rsidRDefault="00100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Hasil Analisa Data</w:t>
      </w:r>
    </w:p>
    <w:p w14:paraId="471BFDCC" w14:textId="41944F51" w:rsidR="001007B5" w:rsidRDefault="00100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Asumsi</w:t>
      </w:r>
      <w:proofErr w:type="spellEnd"/>
    </w:p>
    <w:p w14:paraId="169A8593" w14:textId="75CC065B" w:rsidR="001007B5" w:rsidRDefault="00100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Normalitas</w:t>
      </w:r>
      <w:proofErr w:type="spellEnd"/>
    </w:p>
    <w:p w14:paraId="6B683223" w14:textId="77777777" w:rsidR="001007B5" w:rsidRDefault="001007B5">
      <w:pPr>
        <w:rPr>
          <w:rFonts w:ascii="Times New Roman" w:hAnsi="Times New Roman" w:cs="Times New Roman"/>
          <w:sz w:val="24"/>
          <w:szCs w:val="24"/>
        </w:rPr>
      </w:pPr>
    </w:p>
    <w:p w14:paraId="7BFB932C" w14:textId="76956483" w:rsidR="001007B5" w:rsidRDefault="001007B5" w:rsidP="001007B5">
      <w:pPr>
        <w:pStyle w:val="Caption"/>
        <w:keepNext/>
        <w:jc w:val="center"/>
      </w:pPr>
      <w:proofErr w:type="spellStart"/>
      <w:r>
        <w:t>Grafik</w:t>
      </w:r>
      <w:proofErr w:type="spellEnd"/>
      <w:r>
        <w:t xml:space="preserve"> </w:t>
      </w:r>
      <w:r>
        <w:fldChar w:fldCharType="begin"/>
      </w:r>
      <w:r>
        <w:instrText xml:space="preserve"> SEQ Grafik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Uji </w:t>
      </w:r>
      <w:proofErr w:type="spellStart"/>
      <w:r>
        <w:t>Normalitas</w:t>
      </w:r>
      <w:proofErr w:type="spellEnd"/>
    </w:p>
    <w:p w14:paraId="0A7EA099" w14:textId="77777777" w:rsidR="001007B5" w:rsidRPr="001007B5" w:rsidRDefault="001007B5" w:rsidP="001007B5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1007B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36E3B37F" wp14:editId="06133C6E">
            <wp:extent cx="3598209" cy="2716039"/>
            <wp:effectExtent l="0" t="0" r="2540" b="825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916" cy="272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919EA" w14:textId="79AAA869" w:rsidR="001007B5" w:rsidRDefault="001007B5" w:rsidP="001007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Hasil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residual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terdistribusi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normal. Hal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dilihat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diagram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batang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ditengah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 curva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terbentuk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menyerupai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lonceng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titik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ditengah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Maka </w:t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terpenuhi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8654748" w14:textId="1A0F83C4" w:rsidR="001007B5" w:rsidRDefault="001007B5" w:rsidP="001007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Linearitas</w:t>
      </w:r>
      <w:proofErr w:type="spellEnd"/>
    </w:p>
    <w:p w14:paraId="6222932B" w14:textId="6715176E" w:rsidR="001007B5" w:rsidRDefault="001007B5" w:rsidP="001007B5">
      <w:pPr>
        <w:pStyle w:val="Caption"/>
        <w:keepNext/>
        <w:jc w:val="center"/>
      </w:pPr>
      <w:proofErr w:type="spellStart"/>
      <w:r>
        <w:t>Grafik</w:t>
      </w:r>
      <w:proofErr w:type="spellEnd"/>
      <w:r>
        <w:t xml:space="preserve"> </w:t>
      </w:r>
      <w:r>
        <w:fldChar w:fldCharType="begin"/>
      </w:r>
      <w:r>
        <w:instrText xml:space="preserve"> SEQ Grafik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</w:t>
      </w:r>
      <w:proofErr w:type="spellStart"/>
      <w:r>
        <w:t>Grafik</w:t>
      </w:r>
      <w:proofErr w:type="spellEnd"/>
      <w:r>
        <w:t xml:space="preserve"> </w:t>
      </w:r>
      <w:proofErr w:type="spellStart"/>
      <w:r>
        <w:t>Linearitas</w:t>
      </w:r>
      <w:proofErr w:type="spellEnd"/>
      <w:r>
        <w:t xml:space="preserve">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Belajar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Menyontek</w:t>
      </w:r>
      <w:proofErr w:type="spellEnd"/>
    </w:p>
    <w:p w14:paraId="4872F3A8" w14:textId="3639B6D6" w:rsidR="001007B5" w:rsidRPr="001007B5" w:rsidRDefault="001007B5" w:rsidP="001007B5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1007B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4C363F5B" wp14:editId="4782F58F">
            <wp:extent cx="3539905" cy="2671989"/>
            <wp:effectExtent l="0" t="0" r="3810" b="0"/>
            <wp:docPr id="15271707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648" cy="268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581A4" w14:textId="34AB4792" w:rsidR="001007B5" w:rsidRDefault="001007B5" w:rsidP="001007B5">
      <w:pPr>
        <w:pStyle w:val="Caption"/>
        <w:keepNext/>
        <w:jc w:val="center"/>
      </w:pPr>
      <w:proofErr w:type="spellStart"/>
      <w:r>
        <w:lastRenderedPageBreak/>
        <w:t>Grafik</w:t>
      </w:r>
      <w:proofErr w:type="spellEnd"/>
      <w:r>
        <w:t xml:space="preserve"> </w:t>
      </w:r>
      <w:r>
        <w:fldChar w:fldCharType="begin"/>
      </w:r>
      <w:r>
        <w:instrText xml:space="preserve"> SEQ Grafik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</w:t>
      </w:r>
      <w:proofErr w:type="spellStart"/>
      <w:r>
        <w:t>Grafik</w:t>
      </w:r>
      <w:proofErr w:type="spellEnd"/>
      <w:r>
        <w:t xml:space="preserve"> </w:t>
      </w:r>
      <w:proofErr w:type="spellStart"/>
      <w:r>
        <w:t>Linearitas</w:t>
      </w:r>
      <w:proofErr w:type="spellEnd"/>
      <w:r>
        <w:t xml:space="preserve"> Student engagement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menyontek</w:t>
      </w:r>
      <w:proofErr w:type="spellEnd"/>
    </w:p>
    <w:p w14:paraId="27E2A8A5" w14:textId="5B80A639" w:rsidR="001007B5" w:rsidRPr="001007B5" w:rsidRDefault="001007B5" w:rsidP="001007B5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1007B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61F21D44" wp14:editId="5681AAD1">
            <wp:extent cx="3736754" cy="2820572"/>
            <wp:effectExtent l="0" t="0" r="0" b="0"/>
            <wp:docPr id="140972360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548" cy="2831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1916F" w14:textId="2289F553" w:rsidR="001007B5" w:rsidRDefault="001007B5" w:rsidP="001007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linearitas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r>
        <w:rPr>
          <w:rFonts w:ascii="Times New Roman" w:hAnsi="Times New Roman" w:cs="Times New Roman"/>
          <w:i/>
          <w:iCs/>
          <w:sz w:val="24"/>
          <w:szCs w:val="24"/>
        </w:rPr>
        <w:t>student engagement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grafik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scatter plot</w:t>
      </w:r>
      <w:r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menyebar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mendekati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garis linear yang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condong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kebawah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dan juga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titik-titik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ditarik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garis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melingkar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elips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400D">
        <w:rPr>
          <w:rFonts w:ascii="Times New Roman" w:hAnsi="Times New Roman" w:cs="Times New Roman"/>
          <w:sz w:val="24"/>
          <w:szCs w:val="24"/>
        </w:rPr>
        <w:t>linearitas</w:t>
      </w:r>
      <w:proofErr w:type="spellEnd"/>
      <w:r w:rsidR="00F1400D">
        <w:rPr>
          <w:rFonts w:ascii="Times New Roman" w:hAnsi="Times New Roman" w:cs="Times New Roman"/>
          <w:sz w:val="24"/>
          <w:szCs w:val="24"/>
        </w:rPr>
        <w:t>.</w:t>
      </w:r>
    </w:p>
    <w:p w14:paraId="6E723C90" w14:textId="37DA332B" w:rsidR="00F1400D" w:rsidRDefault="00F1400D" w:rsidP="00F140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Multikolinearitas</w:t>
      </w:r>
      <w:proofErr w:type="spellEnd"/>
    </w:p>
    <w:tbl>
      <w:tblPr>
        <w:tblW w:w="4080" w:type="dxa"/>
        <w:jc w:val="center"/>
        <w:tblLook w:val="04A0" w:firstRow="1" w:lastRow="0" w:firstColumn="1" w:lastColumn="0" w:noHBand="0" w:noVBand="1"/>
      </w:tblPr>
      <w:tblGrid>
        <w:gridCol w:w="1880"/>
        <w:gridCol w:w="1240"/>
        <w:gridCol w:w="960"/>
      </w:tblGrid>
      <w:tr w:rsidR="00F1400D" w:rsidRPr="00F1400D" w14:paraId="7D810231" w14:textId="77777777" w:rsidTr="00F1400D">
        <w:trPr>
          <w:trHeight w:val="290"/>
          <w:jc w:val="center"/>
        </w:trPr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41899" w14:textId="77777777" w:rsidR="00F1400D" w:rsidRPr="00F1400D" w:rsidRDefault="00F1400D" w:rsidP="00F14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F1400D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Variabel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F053E3" w14:textId="77777777" w:rsidR="00F1400D" w:rsidRPr="00F1400D" w:rsidRDefault="00F1400D" w:rsidP="00F140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F1400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Tolerance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CF0F0C" w14:textId="77777777" w:rsidR="00F1400D" w:rsidRPr="00F1400D" w:rsidRDefault="00F1400D" w:rsidP="00F140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</w:pPr>
            <w:r w:rsidRPr="00F1400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ID"/>
                <w14:ligatures w14:val="none"/>
              </w:rPr>
              <w:t>VIF</w:t>
            </w:r>
          </w:p>
        </w:tc>
      </w:tr>
      <w:tr w:rsidR="00F1400D" w:rsidRPr="00F1400D" w14:paraId="0B2189F2" w14:textId="77777777" w:rsidTr="00F1400D">
        <w:trPr>
          <w:trHeight w:val="290"/>
          <w:jc w:val="center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E12E7" w14:textId="77777777" w:rsidR="00F1400D" w:rsidRPr="00F1400D" w:rsidRDefault="00F1400D" w:rsidP="00F14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F1400D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Motivasi</w:t>
            </w:r>
            <w:proofErr w:type="spellEnd"/>
            <w:r w:rsidRPr="00F1400D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F1400D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Belajar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8008F" w14:textId="77777777" w:rsidR="00F1400D" w:rsidRPr="00F1400D" w:rsidRDefault="00F1400D" w:rsidP="00F140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1400D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A4337" w14:textId="77777777" w:rsidR="00F1400D" w:rsidRPr="00F1400D" w:rsidRDefault="00F1400D" w:rsidP="00F140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1400D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2.478</w:t>
            </w:r>
          </w:p>
        </w:tc>
      </w:tr>
      <w:tr w:rsidR="00F1400D" w:rsidRPr="00F1400D" w14:paraId="7CE6D1DE" w14:textId="77777777" w:rsidTr="00F1400D">
        <w:trPr>
          <w:trHeight w:val="290"/>
          <w:jc w:val="center"/>
        </w:trPr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B5D126" w14:textId="77777777" w:rsidR="00F1400D" w:rsidRPr="00F1400D" w:rsidRDefault="00F1400D" w:rsidP="00F14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1400D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Student Engagement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5562C" w14:textId="77777777" w:rsidR="00F1400D" w:rsidRPr="00F1400D" w:rsidRDefault="00F1400D" w:rsidP="00F140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1400D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0.404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67DF1B" w14:textId="77777777" w:rsidR="00F1400D" w:rsidRPr="00F1400D" w:rsidRDefault="00F1400D" w:rsidP="00F140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1400D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2.478</w:t>
            </w:r>
          </w:p>
        </w:tc>
      </w:tr>
    </w:tbl>
    <w:p w14:paraId="4A4D8C4B" w14:textId="2542E267" w:rsidR="00F1400D" w:rsidRDefault="00F1400D" w:rsidP="0082672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multikolinearitas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multikolinearitas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VIF &lt;10 (VIF=2.478). </w:t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lolos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dilanjutkan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hipotetik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CC5A9B0" w14:textId="02DE2E0D" w:rsidR="00F1400D" w:rsidRDefault="00F1400D" w:rsidP="00F140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Hipotetik</w:t>
      </w:r>
      <w:proofErr w:type="spellEnd"/>
    </w:p>
    <w:p w14:paraId="34567A84" w14:textId="131C7136" w:rsidR="00F1400D" w:rsidRDefault="00F1400D" w:rsidP="00F140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Pearson</w:t>
      </w:r>
    </w:p>
    <w:tbl>
      <w:tblPr>
        <w:tblW w:w="6100" w:type="dxa"/>
        <w:jc w:val="center"/>
        <w:tblLook w:val="04A0" w:firstRow="1" w:lastRow="0" w:firstColumn="1" w:lastColumn="0" w:noHBand="0" w:noVBand="1"/>
      </w:tblPr>
      <w:tblGrid>
        <w:gridCol w:w="3980"/>
        <w:gridCol w:w="1160"/>
        <w:gridCol w:w="960"/>
      </w:tblGrid>
      <w:tr w:rsidR="00826720" w:rsidRPr="00826720" w14:paraId="22A080EC" w14:textId="77777777" w:rsidTr="00826720">
        <w:trPr>
          <w:trHeight w:val="300"/>
          <w:jc w:val="center"/>
        </w:trPr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4EC5EF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Variables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C458E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Pearson's 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D5295D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p-value</w:t>
            </w:r>
          </w:p>
        </w:tc>
      </w:tr>
      <w:tr w:rsidR="00826720" w:rsidRPr="00826720" w14:paraId="6484273D" w14:textId="77777777" w:rsidTr="00826720">
        <w:trPr>
          <w:trHeight w:val="290"/>
          <w:jc w:val="center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E90B1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Motivasi</w:t>
            </w:r>
            <w:proofErr w:type="spellEnd"/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Belajar</w:t>
            </w:r>
            <w:proofErr w:type="spellEnd"/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- </w:t>
            </w:r>
            <w:proofErr w:type="spellStart"/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Perilaku</w:t>
            </w:r>
            <w:proofErr w:type="spellEnd"/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Menyontek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17732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-0.783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6890B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&lt; .001</w:t>
            </w:r>
          </w:p>
        </w:tc>
      </w:tr>
      <w:tr w:rsidR="00826720" w:rsidRPr="00826720" w14:paraId="43964CA8" w14:textId="77777777" w:rsidTr="00826720">
        <w:trPr>
          <w:trHeight w:val="290"/>
          <w:jc w:val="center"/>
        </w:trPr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E22A80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Student Engagement- </w:t>
            </w:r>
            <w:proofErr w:type="spellStart"/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Perilaku</w:t>
            </w:r>
            <w:proofErr w:type="spellEnd"/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</w:t>
            </w:r>
            <w:proofErr w:type="spellStart"/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Menyontek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853416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-0.925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2C03B0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&lt; .001</w:t>
            </w:r>
          </w:p>
        </w:tc>
      </w:tr>
    </w:tbl>
    <w:p w14:paraId="246B8B24" w14:textId="31C950BE" w:rsidR="00F1400D" w:rsidRDefault="00826720" w:rsidP="008267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Hasil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pearson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</w:rPr>
        <w:t>r=-783, p-value&lt;0,001)</w:t>
      </w:r>
      <w:r>
        <w:rPr>
          <w:rFonts w:ascii="Times New Roman" w:hAnsi="Times New Roman" w:cs="Times New Roman"/>
          <w:sz w:val="24"/>
          <w:szCs w:val="24"/>
        </w:rPr>
        <w:t xml:space="preserve"> dan </w:t>
      </w:r>
      <w:r>
        <w:rPr>
          <w:rFonts w:ascii="Times New Roman" w:hAnsi="Times New Roman" w:cs="Times New Roman"/>
          <w:i/>
          <w:iCs/>
          <w:sz w:val="24"/>
          <w:szCs w:val="24"/>
        </w:rPr>
        <w:t>student engagement</w:t>
      </w:r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</w:rPr>
        <w:t>r=-</w:t>
      </w:r>
      <w:r>
        <w:rPr>
          <w:rFonts w:ascii="Times New Roman" w:hAnsi="Times New Roman" w:cs="Times New Roman"/>
          <w:i/>
          <w:iCs/>
          <w:sz w:val="24"/>
          <w:szCs w:val="24"/>
        </w:rPr>
        <w:t>925</w:t>
      </w:r>
      <w:r>
        <w:rPr>
          <w:rFonts w:ascii="Times New Roman" w:hAnsi="Times New Roman" w:cs="Times New Roman"/>
          <w:i/>
          <w:iCs/>
          <w:sz w:val="24"/>
          <w:szCs w:val="24"/>
        </w:rPr>
        <w:t>, p-value&lt;0,001)</w:t>
      </w:r>
      <w:r>
        <w:rPr>
          <w:rFonts w:ascii="Times New Roman" w:hAnsi="Times New Roman" w:cs="Times New Roman"/>
          <w:sz w:val="24"/>
          <w:szCs w:val="24"/>
        </w:rPr>
        <w:t xml:space="preserve">. 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menandakan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r>
        <w:rPr>
          <w:rFonts w:ascii="Times New Roman" w:hAnsi="Times New Roman" w:cs="Times New Roman"/>
          <w:i/>
          <w:iCs/>
          <w:sz w:val="24"/>
          <w:szCs w:val="24"/>
        </w:rPr>
        <w:t>student engagement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B148527" w14:textId="77777777" w:rsidR="00826720" w:rsidRDefault="00826720" w:rsidP="00826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79DF69" w14:textId="77777777" w:rsidR="00826720" w:rsidRDefault="00826720" w:rsidP="00826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635928" w14:textId="1D450FBF" w:rsidR="00826720" w:rsidRDefault="00826720" w:rsidP="008267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Berganda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75"/>
        <w:gridCol w:w="1180"/>
        <w:gridCol w:w="42"/>
        <w:gridCol w:w="1360"/>
        <w:gridCol w:w="190"/>
        <w:gridCol w:w="421"/>
        <w:gridCol w:w="42"/>
        <w:gridCol w:w="1869"/>
        <w:gridCol w:w="57"/>
        <w:gridCol w:w="1866"/>
        <w:gridCol w:w="42"/>
        <w:gridCol w:w="1062"/>
        <w:gridCol w:w="59"/>
      </w:tblGrid>
      <w:tr w:rsidR="00826720" w:rsidRPr="00826720" w14:paraId="772C701A" w14:textId="77777777" w:rsidTr="00826720">
        <w:trPr>
          <w:tblHeader/>
          <w:jc w:val="center"/>
        </w:trPr>
        <w:tc>
          <w:tcPr>
            <w:tcW w:w="8268" w:type="dxa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19A06E" w14:textId="1FE92663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D"/>
                <w14:ligatures w14:val="none"/>
              </w:rPr>
            </w:pPr>
          </w:p>
        </w:tc>
      </w:tr>
      <w:tr w:rsidR="00826720" w:rsidRPr="00F535C0" w14:paraId="2EA65CEF" w14:textId="77777777" w:rsidTr="00826720">
        <w:trPr>
          <w:gridAfter w:val="1"/>
          <w:wAfter w:w="50" w:type="dxa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D594F8" w14:textId="77777777" w:rsidR="00826720" w:rsidRPr="00826720" w:rsidRDefault="00826720" w:rsidP="0082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C0F44A" w14:textId="77777777" w:rsidR="00826720" w:rsidRPr="00826720" w:rsidRDefault="00826720" w:rsidP="00826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68A103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BF5B9AC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proofErr w:type="spellStart"/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df</w:t>
            </w:r>
            <w:proofErr w:type="spellEnd"/>
          </w:p>
        </w:tc>
        <w:tc>
          <w:tcPr>
            <w:tcW w:w="164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E0BD32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Mean Square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C70C79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F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36213F" w14:textId="4A19A099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p</w:t>
            </w:r>
            <w:r w:rsidRPr="00F535C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-value</w:t>
            </w:r>
          </w:p>
        </w:tc>
      </w:tr>
      <w:tr w:rsidR="00826720" w:rsidRPr="00F535C0" w14:paraId="7C714AEA" w14:textId="77777777" w:rsidTr="0082672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7F7A5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43EF8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09B9E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Regression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EC8FA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0EAB9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27588.673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9951F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A9EE7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ED92F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ED50A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13794.336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1FA8F1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0E3E4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1087.985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38077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741885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D5E24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  <w:tr w:rsidR="00826720" w:rsidRPr="00F535C0" w14:paraId="723EE3FC" w14:textId="77777777" w:rsidTr="0082672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3E9EC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1C067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7EF5B4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Residual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A4BC67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C963A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4196.680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C34F7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8D859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0A865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91145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12.679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85117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9BD511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9D4CD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759E55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47DEE6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  <w:tr w:rsidR="00826720" w:rsidRPr="00F535C0" w14:paraId="6622F1EA" w14:textId="77777777" w:rsidTr="0082672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BD30DB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83A92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BB401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5505A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849D6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31785.353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578FA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EC751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81469E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EED38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F64AC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5E08A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407F7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275E8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826720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223C4" w14:textId="77777777" w:rsidR="00826720" w:rsidRPr="00826720" w:rsidRDefault="00826720" w:rsidP="008267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  <w:tr w:rsidR="00826720" w:rsidRPr="00826720" w14:paraId="66907BC6" w14:textId="77777777" w:rsidTr="00826720">
        <w:trPr>
          <w:jc w:val="center"/>
        </w:trPr>
        <w:tc>
          <w:tcPr>
            <w:tcW w:w="8268" w:type="dxa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5A7846F" w14:textId="77777777" w:rsidR="00826720" w:rsidRPr="00826720" w:rsidRDefault="00826720" w:rsidP="008267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</w:tbl>
    <w:p w14:paraId="16331D30" w14:textId="77777777" w:rsidR="00826720" w:rsidRDefault="00826720" w:rsidP="008267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1D9156" w14:textId="77777777" w:rsidR="00ED027C" w:rsidRDefault="00826720" w:rsidP="008267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Hasil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berganda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student engagement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dampak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Pr="00826720">
        <w:rPr>
          <w:rFonts w:ascii="Times New Roman" w:hAnsi="Times New Roman" w:cs="Times New Roman"/>
          <w:sz w:val="24"/>
          <w:szCs w:val="24"/>
          <w:vertAlign w:val="superscript"/>
        </w:rPr>
        <w:t>hitung</w:t>
      </w:r>
      <w:proofErr w:type="spellEnd"/>
      <w:r w:rsidRPr="0082672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f=1087.985, p-value&lt;0,001)</w:t>
      </w:r>
      <w:r w:rsidRPr="0082672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Pr="00826720">
        <w:rPr>
          <w:rFonts w:ascii="Times New Roman" w:hAnsi="Times New Roman" w:cs="Times New Roman"/>
          <w:sz w:val="24"/>
          <w:szCs w:val="24"/>
          <w:vertAlign w:val="superscript"/>
        </w:rPr>
        <w:t>Tabel</w:t>
      </w:r>
      <w:proofErr w:type="spellEnd"/>
      <w:r w:rsidRPr="0082672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>f=1087.985, p-value&lt;0,001)</w:t>
      </w:r>
      <w:r w:rsidR="00ED027C">
        <w:rPr>
          <w:rFonts w:ascii="Times New Roman" w:hAnsi="Times New Roman" w:cs="Times New Roman"/>
          <w:sz w:val="24"/>
          <w:szCs w:val="24"/>
        </w:rPr>
        <w:t xml:space="preserve">. Hasil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menandakan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dampak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dan </w:t>
      </w:r>
      <w:r w:rsidR="00ED027C">
        <w:rPr>
          <w:rFonts w:ascii="Times New Roman" w:hAnsi="Times New Roman" w:cs="Times New Roman"/>
          <w:i/>
          <w:iCs/>
          <w:sz w:val="24"/>
          <w:szCs w:val="24"/>
        </w:rPr>
        <w:t>student engagement</w:t>
      </w:r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terbukti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027C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="00ED027C">
        <w:rPr>
          <w:rFonts w:ascii="Times New Roman" w:hAnsi="Times New Roman" w:cs="Times New Roman"/>
          <w:sz w:val="24"/>
          <w:szCs w:val="24"/>
        </w:rPr>
        <w:t>.</w:t>
      </w:r>
    </w:p>
    <w:p w14:paraId="0DEA341A" w14:textId="2E32B225" w:rsidR="00ED027C" w:rsidRDefault="00ED027C" w:rsidP="0082672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Efektif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75"/>
        <w:gridCol w:w="525"/>
        <w:gridCol w:w="36"/>
        <w:gridCol w:w="525"/>
        <w:gridCol w:w="36"/>
        <w:gridCol w:w="1023"/>
        <w:gridCol w:w="70"/>
        <w:gridCol w:w="590"/>
        <w:gridCol w:w="40"/>
      </w:tblGrid>
      <w:tr w:rsidR="00ED027C" w:rsidRPr="00ED027C" w14:paraId="2A301531" w14:textId="77777777" w:rsidTr="00ED027C">
        <w:trPr>
          <w:tblHeader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9EC805" w14:textId="77777777" w:rsidR="00ED027C" w:rsidRPr="00ED027C" w:rsidRDefault="00ED027C" w:rsidP="00ED0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96C1B24" w14:textId="77777777" w:rsidR="00ED027C" w:rsidRPr="00ED027C" w:rsidRDefault="00ED027C" w:rsidP="00ED0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35A1E2E" w14:textId="77777777" w:rsidR="00ED027C" w:rsidRPr="00ED027C" w:rsidRDefault="00ED027C" w:rsidP="00ED0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4485FA" w14:textId="77777777" w:rsidR="00ED027C" w:rsidRPr="00ED027C" w:rsidRDefault="00ED027C" w:rsidP="00ED0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D4BBAA" w14:textId="77777777" w:rsidR="00ED027C" w:rsidRPr="00ED027C" w:rsidRDefault="00ED027C" w:rsidP="00ED0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RMSE</w:t>
            </w:r>
          </w:p>
        </w:tc>
      </w:tr>
      <w:tr w:rsidR="00ED027C" w:rsidRPr="00ED027C" w14:paraId="19204047" w14:textId="77777777" w:rsidTr="00ED027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9C7A1" w14:textId="77777777" w:rsidR="00ED027C" w:rsidRPr="00ED027C" w:rsidRDefault="00ED027C" w:rsidP="00ED02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C2243" w14:textId="77777777" w:rsidR="00ED027C" w:rsidRPr="00ED027C" w:rsidRDefault="00ED027C" w:rsidP="00ED02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B35B7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86AFF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D9759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3FB96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7838E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EC52A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EA948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9.770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F124DF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  <w:tr w:rsidR="00ED027C" w:rsidRPr="00ED027C" w14:paraId="29E408CC" w14:textId="77777777" w:rsidTr="00ED027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E9F4A" w14:textId="77777777" w:rsidR="00ED027C" w:rsidRPr="00ED027C" w:rsidRDefault="00ED027C" w:rsidP="00ED02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4195E7" w14:textId="77777777" w:rsidR="00ED027C" w:rsidRPr="00ED027C" w:rsidRDefault="00ED027C" w:rsidP="00ED02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0855A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89DA5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49583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D8A2E0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D2E84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0.867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1E27D7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B2B30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  <w:r w:rsidRPr="00ED027C"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  <w:t>3.561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4A03D" w14:textId="77777777" w:rsidR="00ED027C" w:rsidRPr="00ED027C" w:rsidRDefault="00ED027C" w:rsidP="00ED0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  <w:tr w:rsidR="00ED027C" w:rsidRPr="00ED027C" w14:paraId="1E3F0BD2" w14:textId="77777777" w:rsidTr="00ED027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C323C46" w14:textId="77777777" w:rsidR="00ED027C" w:rsidRPr="00ED027C" w:rsidRDefault="00ED027C" w:rsidP="00ED027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D"/>
                <w14:ligatures w14:val="none"/>
              </w:rPr>
            </w:pPr>
          </w:p>
        </w:tc>
      </w:tr>
    </w:tbl>
    <w:p w14:paraId="09C88F07" w14:textId="77777777" w:rsidR="00ED027C" w:rsidRDefault="00ED027C" w:rsidP="00ED027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66B5A1" w14:textId="6D4EA285" w:rsidR="00826720" w:rsidRDefault="00ED027C" w:rsidP="00ED027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r>
        <w:rPr>
          <w:rFonts w:ascii="Times New Roman" w:hAnsi="Times New Roman" w:cs="Times New Roman"/>
          <w:i/>
          <w:iCs/>
          <w:sz w:val="24"/>
          <w:szCs w:val="24"/>
        </w:rPr>
        <w:t>student engagement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86,8% (</w:t>
      </w:r>
      <w:r w:rsidRPr="00ED027C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R²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ED027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0.868</w:t>
      </w:r>
      <w:r>
        <w:rPr>
          <w:rFonts w:ascii="Times New Roman" w:hAnsi="Times New Roman" w:cs="Times New Roman"/>
          <w:sz w:val="24"/>
          <w:szCs w:val="24"/>
        </w:rPr>
        <w:t xml:space="preserve">. Hal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menandakan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13,2%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lain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r>
        <w:rPr>
          <w:rFonts w:ascii="Times New Roman" w:hAnsi="Times New Roman" w:cs="Times New Roman"/>
          <w:i/>
          <w:iCs/>
          <w:sz w:val="24"/>
          <w:szCs w:val="24"/>
        </w:rPr>
        <w:t>student engagement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E37380" w14:textId="3B6799F0" w:rsidR="00ED027C" w:rsidRDefault="00ED027C" w:rsidP="00ED027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Kategorisasi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</w:t>
      </w:r>
    </w:p>
    <w:tbl>
      <w:tblPr>
        <w:tblW w:w="5483" w:type="dxa"/>
        <w:jc w:val="center"/>
        <w:tblLook w:val="04A0" w:firstRow="1" w:lastRow="0" w:firstColumn="1" w:lastColumn="0" w:noHBand="0" w:noVBand="1"/>
      </w:tblPr>
      <w:tblGrid>
        <w:gridCol w:w="1701"/>
        <w:gridCol w:w="1157"/>
        <w:gridCol w:w="1480"/>
        <w:gridCol w:w="1145"/>
      </w:tblGrid>
      <w:tr w:rsidR="00F535C0" w:rsidRPr="00F535C0" w14:paraId="6876D0DB" w14:textId="77777777" w:rsidTr="00F535C0">
        <w:trPr>
          <w:trHeight w:val="290"/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8F62C" w14:textId="77777777" w:rsidR="00F535C0" w:rsidRPr="00F535C0" w:rsidRDefault="00F535C0" w:rsidP="00F53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8C350" w14:textId="77777777" w:rsidR="00F535C0" w:rsidRPr="00F535C0" w:rsidRDefault="00F535C0" w:rsidP="00F53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998EC" w14:textId="77777777" w:rsidR="00F535C0" w:rsidRPr="00F535C0" w:rsidRDefault="00F535C0" w:rsidP="00F53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C6CCE" w14:textId="77777777" w:rsidR="00F535C0" w:rsidRPr="00F535C0" w:rsidRDefault="00F535C0" w:rsidP="00F53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F535C0" w:rsidRPr="00F535C0" w14:paraId="7AD097F5" w14:textId="77777777" w:rsidTr="00F535C0">
        <w:trPr>
          <w:trHeight w:val="290"/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76057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Kategori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7A9F8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Rentangan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06A0E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Jumlah</w:t>
            </w:r>
            <w:proofErr w:type="spellEnd"/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 Sampel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1888F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Persentase</w:t>
            </w:r>
            <w:proofErr w:type="spellEnd"/>
          </w:p>
        </w:tc>
      </w:tr>
      <w:tr w:rsidR="00F535C0" w:rsidRPr="00F535C0" w14:paraId="27F1AE82" w14:textId="77777777" w:rsidTr="00F535C0">
        <w:trPr>
          <w:trHeight w:val="29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932E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Sangat Tinggi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2B3E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&gt;56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DA12" w14:textId="77777777" w:rsidR="00F535C0" w:rsidRPr="00F535C0" w:rsidRDefault="00F535C0" w:rsidP="00F5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916B" w14:textId="77777777" w:rsidR="00F535C0" w:rsidRPr="00F535C0" w:rsidRDefault="00F535C0" w:rsidP="00F5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8,98%</w:t>
            </w:r>
          </w:p>
        </w:tc>
      </w:tr>
      <w:tr w:rsidR="00F535C0" w:rsidRPr="00F535C0" w14:paraId="473795B7" w14:textId="77777777" w:rsidTr="00F535C0">
        <w:trPr>
          <w:trHeight w:val="29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75C8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Tinggi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8193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56-46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ED16B" w14:textId="77777777" w:rsidR="00F535C0" w:rsidRPr="00F535C0" w:rsidRDefault="00F535C0" w:rsidP="00F5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0116" w14:textId="77777777" w:rsidR="00F535C0" w:rsidRPr="00F535C0" w:rsidRDefault="00F535C0" w:rsidP="00F5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14,67%</w:t>
            </w:r>
          </w:p>
        </w:tc>
      </w:tr>
      <w:tr w:rsidR="00F535C0" w:rsidRPr="00F535C0" w14:paraId="5CE533FD" w14:textId="77777777" w:rsidTr="00F535C0">
        <w:trPr>
          <w:trHeight w:val="29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5689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Menengah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FA36F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45-37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8EC0" w14:textId="77777777" w:rsidR="00F535C0" w:rsidRPr="00F535C0" w:rsidRDefault="00F535C0" w:rsidP="00F5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125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22C8" w14:textId="77777777" w:rsidR="00F535C0" w:rsidRPr="00F535C0" w:rsidRDefault="00F535C0" w:rsidP="00F5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37,43%</w:t>
            </w:r>
          </w:p>
        </w:tc>
      </w:tr>
      <w:tr w:rsidR="00F535C0" w:rsidRPr="00F535C0" w14:paraId="6F778D38" w14:textId="77777777" w:rsidTr="00F535C0">
        <w:trPr>
          <w:trHeight w:val="29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48E0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9CA8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36-27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A65C" w14:textId="77777777" w:rsidR="00F535C0" w:rsidRPr="00F535C0" w:rsidRDefault="00F535C0" w:rsidP="00F5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130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DC47" w14:textId="77777777" w:rsidR="00F535C0" w:rsidRPr="00F535C0" w:rsidRDefault="00F535C0" w:rsidP="00F5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38,92%</w:t>
            </w:r>
          </w:p>
        </w:tc>
      </w:tr>
      <w:tr w:rsidR="00F535C0" w:rsidRPr="00F535C0" w14:paraId="14E3DB8F" w14:textId="77777777" w:rsidTr="00F535C0">
        <w:trPr>
          <w:trHeight w:val="290"/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1A03E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 xml:space="preserve">Sangat </w:t>
            </w:r>
            <w:proofErr w:type="spellStart"/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Rendah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D50F4" w14:textId="77777777" w:rsidR="00F535C0" w:rsidRPr="00F535C0" w:rsidRDefault="00F535C0" w:rsidP="00F53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&lt;27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75FBA" w14:textId="77777777" w:rsidR="00F535C0" w:rsidRPr="00F535C0" w:rsidRDefault="00F535C0" w:rsidP="00F5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06087" w14:textId="77777777" w:rsidR="00F535C0" w:rsidRPr="00F535C0" w:rsidRDefault="00F535C0" w:rsidP="00F535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</w:pPr>
            <w:r w:rsidRPr="00F535C0">
              <w:rPr>
                <w:rFonts w:ascii="Times New Roman" w:eastAsia="Times New Roman" w:hAnsi="Times New Roman" w:cs="Times New Roman"/>
                <w:color w:val="000000"/>
                <w:kern w:val="0"/>
                <w:lang w:eastAsia="en-ID"/>
                <w14:ligatures w14:val="none"/>
              </w:rPr>
              <w:t>0,00%</w:t>
            </w:r>
          </w:p>
        </w:tc>
      </w:tr>
    </w:tbl>
    <w:p w14:paraId="2EB105A3" w14:textId="27F3FA6E" w:rsidR="00282348" w:rsidRPr="00ED027C" w:rsidRDefault="00F535C0" w:rsidP="00ED02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130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23,65%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cukup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sesame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menandakan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menyontek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relevan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lanjut.</w:t>
      </w:r>
    </w:p>
    <w:sectPr w:rsidR="00282348" w:rsidRPr="00ED02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7B5"/>
    <w:rsid w:val="001007B5"/>
    <w:rsid w:val="00282348"/>
    <w:rsid w:val="00443AB8"/>
    <w:rsid w:val="00826720"/>
    <w:rsid w:val="0084395A"/>
    <w:rsid w:val="00904052"/>
    <w:rsid w:val="00A92EFD"/>
    <w:rsid w:val="00B8479E"/>
    <w:rsid w:val="00ED027C"/>
    <w:rsid w:val="00F1400D"/>
    <w:rsid w:val="00F5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CDDF6"/>
  <w15:chartTrackingRefBased/>
  <w15:docId w15:val="{9E7BB795-C923-45E9-A673-E75FC56F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007B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semiHidden/>
    <w:unhideWhenUsed/>
    <w:qFormat/>
    <w:rsid w:val="001007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1007B5"/>
    <w:rPr>
      <w:rFonts w:ascii="Times New Roman" w:eastAsia="Times New Roman" w:hAnsi="Times New Roman" w:cs="Times New Roman"/>
      <w:b/>
      <w:bCs/>
      <w:kern w:val="0"/>
      <w:sz w:val="24"/>
      <w:szCs w:val="24"/>
      <w:lang w:eastAsia="en-ID"/>
      <w14:ligatures w14:val="none"/>
    </w:rPr>
  </w:style>
  <w:style w:type="character" w:customStyle="1" w:styleId="in-toolbar">
    <w:name w:val="in-toolbar"/>
    <w:basedOn w:val="DefaultParagraphFont"/>
    <w:rsid w:val="00ED0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4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271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9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957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45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6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6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452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42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43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1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5349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5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5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6544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8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0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4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2024-03-24T13:05:00Z</dcterms:created>
  <dcterms:modified xsi:type="dcterms:W3CDTF">2024-03-24T14:01:00Z</dcterms:modified>
</cp:coreProperties>
</file>