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45D16" w:rsidRDefault="00D45D16">
      <w:pPr>
        <w:widowControl w:val="0"/>
        <w:pBdr>
          <w:top w:val="nil"/>
          <w:left w:val="nil"/>
          <w:bottom w:val="nil"/>
          <w:right w:val="nil"/>
          <w:between w:val="nil"/>
        </w:pBdr>
        <w:spacing w:line="276" w:lineRule="auto"/>
      </w:pPr>
    </w:p>
    <w:p w:rsidR="00A974BF" w:rsidRPr="00A974BF" w:rsidRDefault="00A974BF" w:rsidP="0043262C">
      <w:pPr>
        <w:pBdr>
          <w:top w:val="nil"/>
          <w:left w:val="nil"/>
          <w:bottom w:val="nil"/>
          <w:right w:val="nil"/>
          <w:between w:val="nil"/>
        </w:pBdr>
        <w:ind w:firstLine="288"/>
        <w:jc w:val="center"/>
        <w:rPr>
          <w:color w:val="000000"/>
          <w:sz w:val="20"/>
          <w:szCs w:val="20"/>
        </w:rPr>
      </w:pPr>
      <w:r w:rsidRPr="00A974BF">
        <w:rPr>
          <w:noProof/>
          <w:color w:val="000000"/>
          <w:sz w:val="20"/>
          <w:szCs w:val="20"/>
          <w:lang w:val="en-US" w:eastAsia="en-US"/>
        </w:rPr>
        <mc:AlternateContent>
          <mc:Choice Requires="wps">
            <w:drawing>
              <wp:anchor distT="0" distB="0" distL="114300" distR="114300" simplePos="0" relativeHeight="251662336" behindDoc="0" locked="0" layoutInCell="1" allowOverlap="1">
                <wp:simplePos x="0" y="0"/>
                <wp:positionH relativeFrom="column">
                  <wp:posOffset>1165225</wp:posOffset>
                </wp:positionH>
                <wp:positionV relativeFrom="paragraph">
                  <wp:posOffset>833120</wp:posOffset>
                </wp:positionV>
                <wp:extent cx="204470" cy="113030"/>
                <wp:effectExtent l="0" t="0" r="5080" b="12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13030"/>
                        </a:xfrm>
                        <a:prstGeom prst="rect">
                          <a:avLst/>
                        </a:prstGeom>
                        <a:solidFill>
                          <a:srgbClr val="FFFFFF"/>
                        </a:solidFill>
                        <a:ln>
                          <a:noFill/>
                        </a:ln>
                      </wps:spPr>
                      <wps:txbx>
                        <w:txbxContent>
                          <w:p w:rsidR="00ED1B3B" w:rsidRPr="00E0123E" w:rsidRDefault="00ED1B3B" w:rsidP="00A974BF">
                            <w:pPr>
                              <w:rPr>
                                <w:sz w:val="18"/>
                                <w:szCs w:val="18"/>
                              </w:rPr>
                            </w:pPr>
                            <w:r>
                              <w:rPr>
                                <w:sz w:val="18"/>
                                <w:szCs w:val="18"/>
                              </w:rPr>
                              <w:t>Ah</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91.75pt;margin-top:65.6pt;width:16.1pt;height: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" stroked="f">
                <v:textbox inset=".1mm,.1mm,.1mm,.1mm">
                  <w:txbxContent>
                    <w:p w:rsidR="00ED1B3B" w:rsidRPr="00E0123E" w:rsidRDefault="00ED1B3B" w:rsidP="00A974BF">
                      <w:pPr>
                        <w:rPr>
                          <w:sz w:val="18"/>
                          <w:szCs w:val="18"/>
                        </w:rPr>
                      </w:pPr>
                      <w:r>
                        <w:rPr>
                          <w:sz w:val="18"/>
                          <w:szCs w:val="18"/>
                        </w:rPr>
                        <w:t>Ah</w:t>
                      </w:r>
                    </w:p>
                  </w:txbxContent>
                </v:textbox>
              </v:shape>
            </w:pict>
          </mc:Fallback>
        </mc:AlternateContent>
      </w:r>
      <w:r w:rsidRPr="00A974BF">
        <w:rPr>
          <w:noProof/>
          <w:color w:val="000000"/>
          <w:sz w:val="20"/>
          <w:szCs w:val="20"/>
          <w:lang w:val="en-US" w:eastAsia="en-US"/>
        </w:rPr>
        <mc:AlternateContent>
          <mc:Choice Requires="wps">
            <w:drawing>
              <wp:anchor distT="0" distB="0" distL="114300" distR="114300" simplePos="0" relativeHeight="251660288" behindDoc="0" locked="0" layoutInCell="1" allowOverlap="1">
                <wp:simplePos x="0" y="0"/>
                <wp:positionH relativeFrom="column">
                  <wp:posOffset>2058670</wp:posOffset>
                </wp:positionH>
                <wp:positionV relativeFrom="paragraph">
                  <wp:posOffset>831850</wp:posOffset>
                </wp:positionV>
                <wp:extent cx="156845" cy="189865"/>
                <wp:effectExtent l="0"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845" cy="189865"/>
                        </a:xfrm>
                        <a:prstGeom prst="rect">
                          <a:avLst/>
                        </a:prstGeom>
                        <a:solidFill>
                          <a:srgbClr val="FFFFFF"/>
                        </a:solidFill>
                        <a:ln>
                          <a:noFill/>
                        </a:ln>
                      </wps:spPr>
                      <wps:txbx>
                        <w:txbxContent>
                          <w:p w:rsidR="00ED1B3B" w:rsidRPr="004A1B9B" w:rsidRDefault="00ED1B3B" w:rsidP="00A974BF">
                            <w:r>
                              <w:t>Fpet</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62.1pt;margin-top:65.5pt;width:12.35pt;height:1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" stroked="f">
                <v:textbox inset=".1mm,.1mm,.1mm,.1mm">
                  <w:txbxContent>
                    <w:p w:rsidR="00ED1B3B" w:rsidRPr="004A1B9B" w:rsidRDefault="00ED1B3B" w:rsidP="00A974BF">
                      <w:r>
                        <w:t>Fpet</w:t>
                      </w:r>
                    </w:p>
                  </w:txbxContent>
                </v:textbox>
              </v:shape>
            </w:pict>
          </mc:Fallback>
        </mc:AlternateContent>
      </w:r>
      <w:r w:rsidRPr="00A974BF">
        <w:rPr>
          <w:noProof/>
          <w:color w:val="000000"/>
          <w:sz w:val="20"/>
          <w:szCs w:val="20"/>
          <w:lang w:val="en-US" w:eastAsia="en-US"/>
        </w:rPr>
        <mc:AlternateContent>
          <mc:Choice Requires="wps">
            <w:drawing>
              <wp:anchor distT="0" distB="0" distL="114300" distR="114300" simplePos="0" relativeHeight="251661312" behindDoc="0" locked="0" layoutInCell="1" allowOverlap="1">
                <wp:simplePos x="0" y="0"/>
                <wp:positionH relativeFrom="column">
                  <wp:posOffset>3384550</wp:posOffset>
                </wp:positionH>
                <wp:positionV relativeFrom="paragraph">
                  <wp:posOffset>850900</wp:posOffset>
                </wp:positionV>
                <wp:extent cx="295910" cy="189865"/>
                <wp:effectExtent l="0" t="0" r="889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89865"/>
                        </a:xfrm>
                        <a:prstGeom prst="rect">
                          <a:avLst/>
                        </a:prstGeom>
                        <a:solidFill>
                          <a:srgbClr val="FFFFFF"/>
                        </a:solidFill>
                        <a:ln>
                          <a:noFill/>
                        </a:ln>
                      </wps:spPr>
                      <wps:txbx>
                        <w:txbxContent>
                          <w:p w:rsidR="00ED1B3B" w:rsidRPr="00E0123E" w:rsidRDefault="00ED1B3B" w:rsidP="00A974BF">
                            <w:pPr>
                              <w:rPr>
                                <w:sz w:val="18"/>
                                <w:szCs w:val="18"/>
                              </w:rPr>
                            </w:pPr>
                            <w:r w:rsidRPr="00E0123E">
                              <w:rPr>
                                <w:sz w:val="18"/>
                                <w:szCs w:val="18"/>
                              </w:rPr>
                              <w:t>Fp</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266.5pt;margin-top:67pt;width:23.3pt;height:1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" stroked="f">
                <v:textbox inset=".1mm,.1mm,.1mm,.1mm">
                  <w:txbxContent>
                    <w:p w:rsidR="00ED1B3B" w:rsidRPr="00E0123E" w:rsidRDefault="00ED1B3B" w:rsidP="00A974BF">
                      <w:pPr>
                        <w:rPr>
                          <w:sz w:val="18"/>
                          <w:szCs w:val="18"/>
                        </w:rPr>
                      </w:pPr>
                      <w:r w:rsidRPr="00E0123E">
                        <w:rPr>
                          <w:sz w:val="18"/>
                          <w:szCs w:val="18"/>
                        </w:rPr>
                        <w:t>Fp</w:t>
                      </w:r>
                    </w:p>
                  </w:txbxContent>
                </v:textbox>
              </v:shape>
            </w:pict>
          </mc:Fallback>
        </mc:AlternateContent>
      </w:r>
      <w:r w:rsidRPr="00A974BF">
        <w:rPr>
          <w:noProof/>
          <w:color w:val="000000"/>
          <w:sz w:val="20"/>
          <w:szCs w:val="20"/>
          <w:lang w:val="en-US" w:eastAsia="en-US"/>
        </w:rPr>
        <w:drawing>
          <wp:inline distT="0" distB="0" distL="0" distR="0" wp14:anchorId="391CA702" wp14:editId="1B3FC967">
            <wp:extent cx="3790950" cy="192065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98644" cy="1924555"/>
                    </a:xfrm>
                    <a:prstGeom prst="rect">
                      <a:avLst/>
                    </a:prstGeom>
                    <a:noFill/>
                    <a:ln w="9525">
                      <a:noFill/>
                      <a:miter lim="800000"/>
                      <a:headEnd/>
                      <a:tailEnd/>
                    </a:ln>
                  </pic:spPr>
                </pic:pic>
              </a:graphicData>
            </a:graphic>
          </wp:inline>
        </w:drawing>
      </w:r>
    </w:p>
    <w:p w:rsidR="00A974BF" w:rsidRPr="00A974BF" w:rsidRDefault="00A974BF" w:rsidP="0043262C">
      <w:pPr>
        <w:pBdr>
          <w:top w:val="nil"/>
          <w:left w:val="nil"/>
          <w:bottom w:val="nil"/>
          <w:right w:val="nil"/>
          <w:between w:val="nil"/>
        </w:pBdr>
        <w:ind w:firstLine="288"/>
        <w:jc w:val="center"/>
        <w:rPr>
          <w:color w:val="000000"/>
          <w:sz w:val="20"/>
          <w:szCs w:val="20"/>
        </w:rPr>
      </w:pPr>
      <w:r w:rsidRPr="0043262C">
        <w:rPr>
          <w:b/>
          <w:color w:val="000000"/>
          <w:sz w:val="20"/>
          <w:szCs w:val="20"/>
        </w:rPr>
        <w:t>Gambar 1.</w:t>
      </w:r>
      <w:r w:rsidRPr="00A974BF">
        <w:rPr>
          <w:color w:val="000000"/>
          <w:sz w:val="20"/>
          <w:szCs w:val="20"/>
        </w:rPr>
        <w:t xml:space="preserve">  Penempatan propagul dalam uji penghamabatan pertumbuhan fungi patogen (Fp) oleh fungi agen hayati (Ah)</w:t>
      </w:r>
    </w:p>
    <w:p w:rsidR="00A974BF" w:rsidRPr="00A974BF" w:rsidRDefault="00A974BF" w:rsidP="00A974BF">
      <w:pPr>
        <w:pBdr>
          <w:top w:val="nil"/>
          <w:left w:val="nil"/>
          <w:bottom w:val="nil"/>
          <w:right w:val="nil"/>
          <w:between w:val="nil"/>
        </w:pBdr>
        <w:ind w:firstLine="288"/>
        <w:jc w:val="both"/>
        <w:rPr>
          <w:color w:val="000000"/>
          <w:sz w:val="20"/>
          <w:szCs w:val="20"/>
        </w:rPr>
      </w:pPr>
    </w:p>
    <w:p w:rsidR="00A974BF" w:rsidRPr="00A974BF" w:rsidRDefault="00A974BF" w:rsidP="008E171E">
      <w:pPr>
        <w:pBdr>
          <w:top w:val="nil"/>
          <w:left w:val="nil"/>
          <w:bottom w:val="nil"/>
          <w:right w:val="nil"/>
          <w:between w:val="nil"/>
        </w:pBdr>
        <w:ind w:firstLine="288"/>
        <w:jc w:val="both"/>
        <w:rPr>
          <w:color w:val="000000"/>
          <w:sz w:val="20"/>
          <w:szCs w:val="20"/>
        </w:rPr>
      </w:pPr>
      <w:r w:rsidRPr="00A974BF">
        <w:rPr>
          <w:color w:val="000000"/>
          <w:sz w:val="20"/>
          <w:szCs w:val="20"/>
        </w:rPr>
        <w:t xml:space="preserve">         </w:t>
      </w:r>
    </w:p>
    <w:p w:rsidR="00A974BF" w:rsidRPr="00A974BF" w:rsidRDefault="00A974BF" w:rsidP="00A974BF">
      <w:pPr>
        <w:pBdr>
          <w:top w:val="nil"/>
          <w:left w:val="nil"/>
          <w:bottom w:val="nil"/>
          <w:right w:val="nil"/>
          <w:between w:val="nil"/>
        </w:pBdr>
        <w:ind w:firstLine="288"/>
        <w:jc w:val="center"/>
        <w:rPr>
          <w:color w:val="000000"/>
          <w:sz w:val="20"/>
          <w:szCs w:val="20"/>
        </w:rPr>
      </w:pPr>
      <w:r w:rsidRPr="00A974BF">
        <w:rPr>
          <w:b/>
          <w:color w:val="000000"/>
          <w:sz w:val="20"/>
          <w:szCs w:val="20"/>
        </w:rPr>
        <w:t>Tabel 2.</w:t>
      </w:r>
      <w:r w:rsidRPr="00A974BF">
        <w:rPr>
          <w:color w:val="000000"/>
          <w:sz w:val="20"/>
          <w:szCs w:val="20"/>
        </w:rPr>
        <w:t xml:space="preserve"> Intensitas rata-rata gejala serang fungi patogen pada daun padi sawah dan hasil identifikasi morfologis terhadap patogen penyebabnya</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416"/>
        <w:gridCol w:w="2269"/>
        <w:gridCol w:w="1695"/>
      </w:tblGrid>
      <w:tr w:rsidR="00A974BF" w:rsidRPr="00A974BF" w:rsidTr="00A974BF">
        <w:trPr>
          <w:jc w:val="center"/>
        </w:trPr>
        <w:tc>
          <w:tcPr>
            <w:tcW w:w="2547" w:type="dxa"/>
            <w:vMerge w:val="restart"/>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Deskripsi pertanaman</w:t>
            </w:r>
          </w:p>
        </w:tc>
        <w:tc>
          <w:tcPr>
            <w:tcW w:w="1416" w:type="dxa"/>
            <w:vMerge w:val="restart"/>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Rata-rata Indeks Gejala serangan</w:t>
            </w:r>
          </w:p>
        </w:tc>
        <w:tc>
          <w:tcPr>
            <w:tcW w:w="3964" w:type="dxa"/>
            <w:gridSpan w:val="2"/>
            <w:tcBorders>
              <w:top w:val="single" w:sz="4" w:space="0" w:color="auto"/>
              <w:bottom w:val="single" w:sz="4" w:space="0" w:color="auto"/>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Patogen fungi teridentifikasi secara morfologi mikroskopis*)</w:t>
            </w:r>
          </w:p>
        </w:tc>
      </w:tr>
      <w:tr w:rsidR="00A974BF" w:rsidRPr="00A974BF" w:rsidTr="00A974BF">
        <w:trPr>
          <w:jc w:val="center"/>
        </w:trPr>
        <w:tc>
          <w:tcPr>
            <w:tcW w:w="2547" w:type="dxa"/>
            <w:vMerge/>
            <w:tcBorders>
              <w:bottom w:val="single" w:sz="4" w:space="0" w:color="auto"/>
            </w:tcBorders>
          </w:tcPr>
          <w:p w:rsidR="00A974BF" w:rsidRPr="00A974BF" w:rsidRDefault="00A974BF" w:rsidP="00A974BF">
            <w:pPr>
              <w:ind w:firstLine="288"/>
              <w:jc w:val="both"/>
              <w:rPr>
                <w:rFonts w:ascii="Times New Roman" w:hAnsi="Times New Roman" w:cs="Times New Roman"/>
                <w:color w:val="000000"/>
                <w:sz w:val="20"/>
                <w:szCs w:val="20"/>
              </w:rPr>
            </w:pPr>
          </w:p>
        </w:tc>
        <w:tc>
          <w:tcPr>
            <w:tcW w:w="1416" w:type="dxa"/>
            <w:vMerge/>
            <w:tcBorders>
              <w:bottom w:val="single" w:sz="4" w:space="0" w:color="auto"/>
            </w:tcBorders>
          </w:tcPr>
          <w:p w:rsidR="00A974BF" w:rsidRPr="00A974BF" w:rsidRDefault="00A974BF" w:rsidP="00A974BF">
            <w:pPr>
              <w:ind w:firstLine="288"/>
              <w:jc w:val="both"/>
              <w:rPr>
                <w:rFonts w:ascii="Times New Roman" w:hAnsi="Times New Roman" w:cs="Times New Roman"/>
                <w:color w:val="000000"/>
                <w:sz w:val="20"/>
                <w:szCs w:val="20"/>
              </w:rPr>
            </w:pPr>
          </w:p>
        </w:tc>
        <w:tc>
          <w:tcPr>
            <w:tcW w:w="2269" w:type="dxa"/>
            <w:tcBorders>
              <w:top w:val="single" w:sz="4" w:space="0" w:color="auto"/>
              <w:bottom w:val="single" w:sz="4" w:space="0" w:color="auto"/>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Jenis pathogen</w:t>
            </w:r>
          </w:p>
        </w:tc>
        <w:tc>
          <w:tcPr>
            <w:tcW w:w="1695" w:type="dxa"/>
            <w:tcBorders>
              <w:top w:val="single" w:sz="4" w:space="0" w:color="auto"/>
              <w:bottom w:val="single" w:sz="4" w:space="0" w:color="auto"/>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Frekuensi teramati</w:t>
            </w:r>
          </w:p>
        </w:tc>
      </w:tr>
      <w:tr w:rsidR="00A974BF" w:rsidRPr="00A974BF" w:rsidTr="00A974BF">
        <w:trPr>
          <w:jc w:val="center"/>
        </w:trPr>
        <w:tc>
          <w:tcPr>
            <w:tcW w:w="2547" w:type="dxa"/>
            <w:vMerge w:val="restart"/>
            <w:tcBorders>
              <w:top w:val="single" w:sz="4" w:space="0" w:color="auto"/>
              <w:bottom w:val="nil"/>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Tanaman (varetas IR 64) berumur sekitar 70 hari setelah tanam dan sudah masuk fase pembuangaan</w:t>
            </w:r>
          </w:p>
        </w:tc>
        <w:tc>
          <w:tcPr>
            <w:tcW w:w="1416" w:type="dxa"/>
            <w:vMerge w:val="restart"/>
            <w:tcBorders>
              <w:top w:val="single" w:sz="4" w:space="0" w:color="auto"/>
              <w:bottom w:val="nil"/>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22,0%</w:t>
            </w:r>
          </w:p>
        </w:tc>
        <w:tc>
          <w:tcPr>
            <w:tcW w:w="2269" w:type="dxa"/>
            <w:tcBorders>
              <w:top w:val="single" w:sz="4" w:space="0" w:color="auto"/>
              <w:bottom w:val="nil"/>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Cercospora oryzae</w:t>
            </w:r>
          </w:p>
        </w:tc>
        <w:tc>
          <w:tcPr>
            <w:tcW w:w="1695" w:type="dxa"/>
            <w:tcBorders>
              <w:top w:val="single" w:sz="4" w:space="0" w:color="auto"/>
              <w:bottom w:val="nil"/>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6</w:t>
            </w:r>
          </w:p>
        </w:tc>
      </w:tr>
      <w:tr w:rsidR="00A974BF" w:rsidRPr="00A974BF" w:rsidTr="00A974BF">
        <w:trPr>
          <w:jc w:val="center"/>
        </w:trPr>
        <w:tc>
          <w:tcPr>
            <w:tcW w:w="2547" w:type="dxa"/>
            <w:vMerge/>
            <w:tcBorders>
              <w:top w:val="nil"/>
            </w:tcBorders>
          </w:tcPr>
          <w:p w:rsidR="00A974BF" w:rsidRPr="00A974BF" w:rsidRDefault="00A974BF" w:rsidP="00A974BF">
            <w:pPr>
              <w:ind w:firstLine="288"/>
              <w:jc w:val="both"/>
              <w:rPr>
                <w:rFonts w:ascii="Times New Roman" w:hAnsi="Times New Roman" w:cs="Times New Roman"/>
                <w:color w:val="000000"/>
                <w:sz w:val="20"/>
                <w:szCs w:val="20"/>
              </w:rPr>
            </w:pPr>
          </w:p>
        </w:tc>
        <w:tc>
          <w:tcPr>
            <w:tcW w:w="1416" w:type="dxa"/>
            <w:vMerge/>
            <w:tcBorders>
              <w:top w:val="nil"/>
            </w:tcBorders>
          </w:tcPr>
          <w:p w:rsidR="00A974BF" w:rsidRPr="00A974BF" w:rsidRDefault="00A974BF" w:rsidP="00A974BF">
            <w:pPr>
              <w:ind w:firstLine="288"/>
              <w:jc w:val="both"/>
              <w:rPr>
                <w:rFonts w:ascii="Times New Roman" w:hAnsi="Times New Roman" w:cs="Times New Roman"/>
                <w:color w:val="000000"/>
                <w:sz w:val="20"/>
                <w:szCs w:val="20"/>
              </w:rPr>
            </w:pPr>
          </w:p>
        </w:tc>
        <w:tc>
          <w:tcPr>
            <w:tcW w:w="2269" w:type="dxa"/>
            <w:tcBorders>
              <w:top w:val="nil"/>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Fusarium sp.</w:t>
            </w:r>
          </w:p>
        </w:tc>
        <w:tc>
          <w:tcPr>
            <w:tcW w:w="1695" w:type="dxa"/>
            <w:tcBorders>
              <w:top w:val="nil"/>
            </w:tcBorders>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 xml:space="preserve">6 </w:t>
            </w:r>
          </w:p>
        </w:tc>
      </w:tr>
      <w:tr w:rsidR="00A974BF" w:rsidRPr="00A974BF" w:rsidTr="00A974BF">
        <w:trPr>
          <w:jc w:val="center"/>
        </w:trPr>
        <w:tc>
          <w:tcPr>
            <w:tcW w:w="2547" w:type="dxa"/>
            <w:vMerge/>
          </w:tcPr>
          <w:p w:rsidR="00A974BF" w:rsidRPr="00A974BF" w:rsidRDefault="00A974BF" w:rsidP="00A974BF">
            <w:pPr>
              <w:ind w:firstLine="288"/>
              <w:jc w:val="both"/>
              <w:rPr>
                <w:rFonts w:ascii="Times New Roman" w:hAnsi="Times New Roman" w:cs="Times New Roman"/>
                <w:color w:val="000000"/>
                <w:sz w:val="20"/>
                <w:szCs w:val="20"/>
              </w:rPr>
            </w:pPr>
          </w:p>
        </w:tc>
        <w:tc>
          <w:tcPr>
            <w:tcW w:w="1416" w:type="dxa"/>
            <w:vMerge/>
          </w:tcPr>
          <w:p w:rsidR="00A974BF" w:rsidRPr="00A974BF" w:rsidRDefault="00A974BF" w:rsidP="00A974BF">
            <w:pPr>
              <w:ind w:firstLine="288"/>
              <w:jc w:val="both"/>
              <w:rPr>
                <w:rFonts w:ascii="Times New Roman" w:hAnsi="Times New Roman" w:cs="Times New Roman"/>
                <w:color w:val="000000"/>
                <w:sz w:val="20"/>
                <w:szCs w:val="20"/>
              </w:rPr>
            </w:pPr>
          </w:p>
        </w:tc>
        <w:tc>
          <w:tcPr>
            <w:tcW w:w="2269" w:type="dxa"/>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Helmintosporium sp.</w:t>
            </w:r>
          </w:p>
        </w:tc>
        <w:tc>
          <w:tcPr>
            <w:tcW w:w="1695" w:type="dxa"/>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9</w:t>
            </w:r>
          </w:p>
        </w:tc>
      </w:tr>
      <w:tr w:rsidR="00A974BF" w:rsidRPr="00A974BF" w:rsidTr="00A974BF">
        <w:trPr>
          <w:jc w:val="center"/>
        </w:trPr>
        <w:tc>
          <w:tcPr>
            <w:tcW w:w="2547" w:type="dxa"/>
            <w:vMerge/>
          </w:tcPr>
          <w:p w:rsidR="00A974BF" w:rsidRPr="00A974BF" w:rsidRDefault="00A974BF" w:rsidP="00A974BF">
            <w:pPr>
              <w:ind w:firstLine="288"/>
              <w:jc w:val="both"/>
              <w:rPr>
                <w:rFonts w:ascii="Times New Roman" w:hAnsi="Times New Roman" w:cs="Times New Roman"/>
                <w:color w:val="000000"/>
                <w:sz w:val="20"/>
                <w:szCs w:val="20"/>
              </w:rPr>
            </w:pPr>
          </w:p>
        </w:tc>
        <w:tc>
          <w:tcPr>
            <w:tcW w:w="1416" w:type="dxa"/>
            <w:vMerge/>
          </w:tcPr>
          <w:p w:rsidR="00A974BF" w:rsidRPr="00A974BF" w:rsidRDefault="00A974BF" w:rsidP="00A974BF">
            <w:pPr>
              <w:ind w:firstLine="288"/>
              <w:jc w:val="both"/>
              <w:rPr>
                <w:rFonts w:ascii="Times New Roman" w:hAnsi="Times New Roman" w:cs="Times New Roman"/>
                <w:color w:val="000000"/>
                <w:sz w:val="20"/>
                <w:szCs w:val="20"/>
              </w:rPr>
            </w:pPr>
          </w:p>
        </w:tc>
        <w:tc>
          <w:tcPr>
            <w:tcW w:w="2269" w:type="dxa"/>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Pyricularian oryzae</w:t>
            </w:r>
          </w:p>
        </w:tc>
        <w:tc>
          <w:tcPr>
            <w:tcW w:w="1695" w:type="dxa"/>
          </w:tcPr>
          <w:p w:rsidR="00A974BF" w:rsidRPr="00A974BF" w:rsidRDefault="00A974BF" w:rsidP="00A974BF">
            <w:pPr>
              <w:ind w:firstLine="288"/>
              <w:jc w:val="both"/>
              <w:rPr>
                <w:rFonts w:ascii="Times New Roman" w:hAnsi="Times New Roman" w:cs="Times New Roman"/>
                <w:color w:val="000000"/>
                <w:sz w:val="20"/>
                <w:szCs w:val="20"/>
              </w:rPr>
            </w:pPr>
            <w:r w:rsidRPr="00A974BF">
              <w:rPr>
                <w:rFonts w:ascii="Times New Roman" w:hAnsi="Times New Roman" w:cs="Times New Roman"/>
                <w:color w:val="000000"/>
                <w:sz w:val="20"/>
                <w:szCs w:val="20"/>
              </w:rPr>
              <w:t>7</w:t>
            </w:r>
          </w:p>
        </w:tc>
      </w:tr>
    </w:tbl>
    <w:p w:rsidR="008E171E" w:rsidRDefault="008E171E" w:rsidP="00A974BF">
      <w:pPr>
        <w:pBdr>
          <w:top w:val="nil"/>
          <w:left w:val="nil"/>
          <w:bottom w:val="nil"/>
          <w:right w:val="nil"/>
          <w:between w:val="nil"/>
        </w:pBdr>
        <w:ind w:firstLine="288"/>
        <w:jc w:val="center"/>
        <w:rPr>
          <w:color w:val="000000"/>
          <w:sz w:val="20"/>
          <w:szCs w:val="20"/>
        </w:rPr>
      </w:pPr>
    </w:p>
    <w:p w:rsidR="008E171E" w:rsidRDefault="008E171E" w:rsidP="00A974BF">
      <w:pPr>
        <w:pBdr>
          <w:top w:val="nil"/>
          <w:left w:val="nil"/>
          <w:bottom w:val="nil"/>
          <w:right w:val="nil"/>
          <w:between w:val="nil"/>
        </w:pBdr>
        <w:ind w:firstLine="288"/>
        <w:jc w:val="center"/>
        <w:rPr>
          <w:color w:val="000000"/>
          <w:sz w:val="20"/>
          <w:szCs w:val="20"/>
        </w:rPr>
      </w:pPr>
    </w:p>
    <w:p w:rsidR="008E171E" w:rsidRDefault="008E171E" w:rsidP="00A974BF">
      <w:pPr>
        <w:pBdr>
          <w:top w:val="nil"/>
          <w:left w:val="nil"/>
          <w:bottom w:val="nil"/>
          <w:right w:val="nil"/>
          <w:between w:val="nil"/>
        </w:pBdr>
        <w:ind w:firstLine="288"/>
        <w:jc w:val="center"/>
        <w:rPr>
          <w:color w:val="000000"/>
          <w:sz w:val="20"/>
          <w:szCs w:val="20"/>
        </w:rPr>
      </w:pPr>
    </w:p>
    <w:p w:rsidR="00A974BF" w:rsidRPr="00A974BF" w:rsidRDefault="00A974BF" w:rsidP="00A974BF">
      <w:pPr>
        <w:pBdr>
          <w:top w:val="nil"/>
          <w:left w:val="nil"/>
          <w:bottom w:val="nil"/>
          <w:right w:val="nil"/>
          <w:between w:val="nil"/>
        </w:pBdr>
        <w:ind w:firstLine="288"/>
        <w:jc w:val="center"/>
        <w:rPr>
          <w:color w:val="000000"/>
          <w:sz w:val="20"/>
          <w:szCs w:val="20"/>
        </w:rPr>
      </w:pPr>
      <w:r w:rsidRPr="00A974BF">
        <w:rPr>
          <w:noProof/>
          <w:color w:val="000000"/>
          <w:sz w:val="20"/>
          <w:szCs w:val="20"/>
          <w:lang w:val="en-US" w:eastAsia="en-US"/>
        </w:rPr>
        <w:drawing>
          <wp:inline distT="0" distB="0" distL="0" distR="0" wp14:anchorId="5EF3FFF7" wp14:editId="51AF9001">
            <wp:extent cx="4572000" cy="2743200"/>
            <wp:effectExtent l="0" t="0" r="0" b="0"/>
            <wp:docPr id="5" name="Chart 5">
              <a:extLst xmlns:a="http://schemas.openxmlformats.org/drawingml/2006/main">
                <a:ext uri="{FF2B5EF4-FFF2-40B4-BE49-F238E27FC236}">
                  <a16:creationId xmlns:ve="http://schemas.openxmlformats.org/markup-compatibility/2006"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A609CA3-2B27-40A7-B329-EFB1E703EE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974BF" w:rsidRPr="00A974BF" w:rsidRDefault="00A974BF" w:rsidP="00A974BF">
      <w:pPr>
        <w:pBdr>
          <w:top w:val="nil"/>
          <w:left w:val="nil"/>
          <w:bottom w:val="nil"/>
          <w:right w:val="nil"/>
          <w:between w:val="nil"/>
        </w:pBdr>
        <w:ind w:firstLine="288"/>
        <w:jc w:val="center"/>
        <w:rPr>
          <w:color w:val="000000"/>
          <w:sz w:val="20"/>
          <w:szCs w:val="20"/>
        </w:rPr>
      </w:pPr>
      <w:r w:rsidRPr="00A974BF">
        <w:rPr>
          <w:b/>
          <w:color w:val="000000"/>
          <w:sz w:val="20"/>
          <w:szCs w:val="20"/>
        </w:rPr>
        <w:t>Gambar 2.</w:t>
      </w:r>
      <w:r w:rsidRPr="00A974BF">
        <w:rPr>
          <w:color w:val="000000"/>
          <w:sz w:val="20"/>
          <w:szCs w:val="20"/>
        </w:rPr>
        <w:t xml:space="preserve">  Daya hambat T.asperellum Tc-027 terhadap Helmintosporium sp secara in vitro 24-96 jam setelah inokulasi (JSI)</w:t>
      </w:r>
    </w:p>
    <w:p w:rsidR="00A974BF" w:rsidRPr="00A974BF" w:rsidRDefault="00A974BF" w:rsidP="00A974BF">
      <w:pPr>
        <w:pBdr>
          <w:top w:val="nil"/>
          <w:left w:val="nil"/>
          <w:bottom w:val="nil"/>
          <w:right w:val="nil"/>
          <w:between w:val="nil"/>
        </w:pBdr>
        <w:ind w:firstLine="288"/>
        <w:jc w:val="both"/>
        <w:rPr>
          <w:color w:val="000000"/>
          <w:sz w:val="20"/>
          <w:szCs w:val="20"/>
        </w:rPr>
      </w:pPr>
    </w:p>
    <w:p w:rsidR="00A974BF" w:rsidRPr="00A974BF" w:rsidRDefault="00A974BF" w:rsidP="00A974BF">
      <w:pPr>
        <w:pBdr>
          <w:top w:val="nil"/>
          <w:left w:val="nil"/>
          <w:bottom w:val="nil"/>
          <w:right w:val="nil"/>
          <w:between w:val="nil"/>
        </w:pBdr>
        <w:ind w:firstLine="288"/>
        <w:jc w:val="both"/>
        <w:rPr>
          <w:color w:val="000000"/>
          <w:sz w:val="20"/>
          <w:szCs w:val="20"/>
        </w:rPr>
      </w:pPr>
    </w:p>
    <w:p w:rsidR="00A974BF" w:rsidRPr="00A974BF" w:rsidRDefault="00A974BF" w:rsidP="00A974BF">
      <w:pPr>
        <w:pBdr>
          <w:top w:val="nil"/>
          <w:left w:val="nil"/>
          <w:bottom w:val="nil"/>
          <w:right w:val="nil"/>
          <w:between w:val="nil"/>
        </w:pBdr>
        <w:ind w:firstLine="288"/>
        <w:jc w:val="both"/>
        <w:rPr>
          <w:color w:val="000000"/>
          <w:sz w:val="20"/>
          <w:szCs w:val="20"/>
        </w:rPr>
      </w:pPr>
    </w:p>
    <w:p w:rsidR="00A974BF" w:rsidRPr="00A974BF" w:rsidRDefault="00A974BF" w:rsidP="00A974BF">
      <w:pPr>
        <w:pBdr>
          <w:top w:val="nil"/>
          <w:left w:val="nil"/>
          <w:bottom w:val="nil"/>
          <w:right w:val="nil"/>
          <w:between w:val="nil"/>
        </w:pBdr>
        <w:ind w:firstLine="288"/>
        <w:jc w:val="center"/>
        <w:rPr>
          <w:color w:val="000000"/>
          <w:sz w:val="20"/>
          <w:szCs w:val="20"/>
        </w:rPr>
      </w:pPr>
      <w:r w:rsidRPr="00A974BF">
        <w:rPr>
          <w:noProof/>
          <w:color w:val="000000"/>
          <w:sz w:val="20"/>
          <w:szCs w:val="20"/>
          <w:lang w:val="en-US" w:eastAsia="en-US"/>
        </w:rPr>
        <w:lastRenderedPageBreak/>
        <w:drawing>
          <wp:inline distT="0" distB="0" distL="0" distR="0" wp14:anchorId="57345812" wp14:editId="0E237EFD">
            <wp:extent cx="2657475" cy="255700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4540" cy="2592667"/>
                    </a:xfrm>
                    <a:prstGeom prst="rect">
                      <a:avLst/>
                    </a:prstGeom>
                    <a:noFill/>
                    <a:ln>
                      <a:noFill/>
                    </a:ln>
                  </pic:spPr>
                </pic:pic>
              </a:graphicData>
            </a:graphic>
          </wp:inline>
        </w:drawing>
      </w:r>
    </w:p>
    <w:p w:rsidR="00A974BF" w:rsidRPr="00A974BF" w:rsidRDefault="00A974BF" w:rsidP="00A974BF">
      <w:pPr>
        <w:pBdr>
          <w:top w:val="nil"/>
          <w:left w:val="nil"/>
          <w:bottom w:val="nil"/>
          <w:right w:val="nil"/>
          <w:between w:val="nil"/>
        </w:pBdr>
        <w:ind w:firstLine="288"/>
        <w:jc w:val="center"/>
        <w:rPr>
          <w:color w:val="000000"/>
          <w:sz w:val="20"/>
          <w:szCs w:val="20"/>
        </w:rPr>
      </w:pPr>
      <w:r w:rsidRPr="00A974BF">
        <w:rPr>
          <w:b/>
          <w:color w:val="000000"/>
          <w:sz w:val="20"/>
          <w:szCs w:val="20"/>
        </w:rPr>
        <w:t>Gambar 3.</w:t>
      </w:r>
      <w:r w:rsidRPr="00A974BF">
        <w:rPr>
          <w:color w:val="000000"/>
          <w:sz w:val="20"/>
          <w:szCs w:val="20"/>
        </w:rPr>
        <w:t xml:space="preserve">  Penghambatan koloni Helmintosporium oleh T. esperellum Tc-027 pada 96 jam setelah inokulasi</w:t>
      </w:r>
    </w:p>
    <w:p w:rsidR="00A974BF" w:rsidRPr="00A974BF" w:rsidRDefault="00A974BF" w:rsidP="00A974BF">
      <w:pPr>
        <w:pBdr>
          <w:top w:val="nil"/>
          <w:left w:val="nil"/>
          <w:bottom w:val="nil"/>
          <w:right w:val="nil"/>
          <w:between w:val="nil"/>
        </w:pBdr>
        <w:ind w:firstLine="288"/>
        <w:jc w:val="both"/>
        <w:rPr>
          <w:color w:val="000000"/>
          <w:sz w:val="20"/>
          <w:szCs w:val="20"/>
        </w:rPr>
      </w:pPr>
    </w:p>
    <w:sectPr w:rsidR="00A974BF" w:rsidRPr="00A974B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474" w:rsidRDefault="00371474">
      <w:r>
        <w:separator/>
      </w:r>
    </w:p>
  </w:endnote>
  <w:endnote w:type="continuationSeparator" w:id="0">
    <w:p w:rsidR="00371474" w:rsidRDefault="00371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B3B" w:rsidRDefault="00ED1B3B">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1E" w:rsidRDefault="008E17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1E" w:rsidRDefault="008E17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474" w:rsidRDefault="00371474">
      <w:r>
        <w:separator/>
      </w:r>
    </w:p>
  </w:footnote>
  <w:footnote w:type="continuationSeparator" w:id="0">
    <w:p w:rsidR="00371474" w:rsidRDefault="00371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1E" w:rsidRDefault="008E17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B3B" w:rsidRPr="008E171E" w:rsidRDefault="00ED1B3B" w:rsidP="008E171E">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71E" w:rsidRDefault="008E17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3163B"/>
    <w:multiLevelType w:val="multilevel"/>
    <w:tmpl w:val="11A64B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FB3321"/>
    <w:multiLevelType w:val="multilevel"/>
    <w:tmpl w:val="72662C4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4DA6150F"/>
    <w:multiLevelType w:val="multilevel"/>
    <w:tmpl w:val="482AF6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D50147D"/>
    <w:multiLevelType w:val="multilevel"/>
    <w:tmpl w:val="81EA8AF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D836E8F"/>
    <w:multiLevelType w:val="multilevel"/>
    <w:tmpl w:val="6F5A71D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16"/>
    <w:rsid w:val="002A6B40"/>
    <w:rsid w:val="00371474"/>
    <w:rsid w:val="0043262C"/>
    <w:rsid w:val="006328F0"/>
    <w:rsid w:val="00747428"/>
    <w:rsid w:val="0079613A"/>
    <w:rsid w:val="00892452"/>
    <w:rsid w:val="008E171E"/>
    <w:rsid w:val="009F1C65"/>
    <w:rsid w:val="00A974BF"/>
    <w:rsid w:val="00CB464F"/>
    <w:rsid w:val="00D45D16"/>
    <w:rsid w:val="00D77973"/>
    <w:rsid w:val="00ED1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E9B4B8-44D0-4532-9A1C-AD14A3698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A974BF"/>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974BF"/>
    <w:pPr>
      <w:autoSpaceDE w:val="0"/>
      <w:autoSpaceDN w:val="0"/>
      <w:adjustRightInd w:val="0"/>
    </w:pPr>
    <w:rPr>
      <w:rFonts w:eastAsiaTheme="minorHAns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Sheet1!$E$17:$H$17</c:f>
              <c:strCache>
                <c:ptCount val="4"/>
                <c:pt idx="0">
                  <c:v>24 JSI</c:v>
                </c:pt>
                <c:pt idx="1">
                  <c:v>48 JSI</c:v>
                </c:pt>
                <c:pt idx="2">
                  <c:v>72 JSI</c:v>
                </c:pt>
                <c:pt idx="3">
                  <c:v>96 JSI</c:v>
                </c:pt>
              </c:strCache>
            </c:strRef>
          </c:cat>
          <c:val>
            <c:numRef>
              <c:f>Sheet1!$E$18:$H$18</c:f>
              <c:numCache>
                <c:formatCode>0.0%</c:formatCode>
                <c:ptCount val="4"/>
                <c:pt idx="0">
                  <c:v>0.46125000000000005</c:v>
                </c:pt>
                <c:pt idx="1">
                  <c:v>1.1171875000000009</c:v>
                </c:pt>
                <c:pt idx="2">
                  <c:v>0.53187500000000054</c:v>
                </c:pt>
                <c:pt idx="3">
                  <c:v>0.54168749999999977</c:v>
                </c:pt>
              </c:numCache>
            </c:numRef>
          </c:val>
          <c:extLst xmlns:c16r2="http://schemas.microsoft.com/office/drawing/2015/06/chart">
            <c:ext xmlns:c16="http://schemas.microsoft.com/office/drawing/2014/chart" uri="{C3380CC4-5D6E-409C-BE32-E72D297353CC}">
              <c16:uniqueId val="{00000000-2206-4A42-B9E4-E2EF48B052C3}"/>
            </c:ext>
          </c:extLst>
        </c:ser>
        <c:dLbls>
          <c:showLegendKey val="0"/>
          <c:showVal val="0"/>
          <c:showCatName val="0"/>
          <c:showSerName val="0"/>
          <c:showPercent val="0"/>
          <c:showBubbleSize val="0"/>
        </c:dLbls>
        <c:gapWidth val="150"/>
        <c:shape val="box"/>
        <c:axId val="1037171136"/>
        <c:axId val="1037164608"/>
        <c:axId val="0"/>
      </c:bar3DChart>
      <c:catAx>
        <c:axId val="103717113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037164608"/>
        <c:crosses val="autoZero"/>
        <c:auto val="1"/>
        <c:lblAlgn val="ctr"/>
        <c:lblOffset val="100"/>
        <c:noMultiLvlLbl val="0"/>
      </c:catAx>
      <c:valAx>
        <c:axId val="1037164608"/>
        <c:scaling>
          <c:orientation val="minMax"/>
        </c:scaling>
        <c:delete val="0"/>
        <c:axPos val="l"/>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037171136"/>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Admin</cp:lastModifiedBy>
  <cp:revision>2</cp:revision>
  <cp:lastPrinted>2024-05-31T05:44:00Z</cp:lastPrinted>
  <dcterms:created xsi:type="dcterms:W3CDTF">2024-05-31T08:07:00Z</dcterms:created>
  <dcterms:modified xsi:type="dcterms:W3CDTF">2024-05-31T08:07:00Z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