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E275D" w14:textId="77777777" w:rsidR="00AA49BB" w:rsidRDefault="00AA49BB" w:rsidP="00AA49BB">
      <w:pPr>
        <w:pBdr>
          <w:top w:val="nil"/>
          <w:left w:val="nil"/>
          <w:bottom w:val="nil"/>
          <w:right w:val="nil"/>
          <w:between w:val="nil"/>
        </w:pBdr>
        <w:ind w:firstLine="288"/>
        <w:jc w:val="center"/>
        <w:rPr>
          <w:color w:val="000000"/>
          <w:sz w:val="20"/>
          <w:szCs w:val="20"/>
        </w:rPr>
      </w:pPr>
      <w:r w:rsidRPr="004C565C">
        <w:rPr>
          <w:b/>
          <w:bCs/>
          <w:color w:val="000000"/>
          <w:sz w:val="20"/>
          <w:szCs w:val="20"/>
        </w:rPr>
        <w:t>Tabel 1.</w:t>
      </w:r>
      <w:r w:rsidRPr="00A343CA">
        <w:rPr>
          <w:sz w:val="20"/>
          <w:szCs w:val="20"/>
        </w:rPr>
        <w:t xml:space="preserve"> </w:t>
      </w:r>
      <w:r w:rsidRPr="00830115">
        <w:rPr>
          <w:sz w:val="20"/>
          <w:szCs w:val="20"/>
        </w:rPr>
        <w:t xml:space="preserve">Ukuran Utama Kapal </w:t>
      </w:r>
      <w:r w:rsidRPr="00830115">
        <w:rPr>
          <w:sz w:val="20"/>
          <w:szCs w:val="20"/>
        </w:rPr>
        <w:fldChar w:fldCharType="begin" w:fldLock="1"/>
      </w:r>
      <w:r>
        <w:rPr>
          <w:sz w:val="20"/>
          <w:szCs w:val="20"/>
        </w:rPr>
        <w:instrText>ADDIN CSL_CITATION {"citationItems":[{"id":"ITEM-1","itemData":{"ISSN":"2580-2798","abstract":"Abstrak Badan Pertolongan dan Pencarian Nasional (BASARNAS) Kendari menyatakan telah menangani 33 kecelakaan kapal pada tahun 2020 di perairan kota Kendari. Berdasarkan uraian permasalahan yang telah disampaikan, maka dibuatlah rescue boat kelas III (panjang kapal antara 20 s.d. &lt; 30 m) berbahan dasar Fiberglass Reinforced Plastics (FRP) sebagai salah satu alternatif solusi untuk menambah rescue boat di kota Kendari. Rescue boat kelas III didesain berdasarkan kepada aturan yang dikeluarkan oleh Badan SAR Nasional (BASARNAS) dengan ukuran kapal sebagai berikut: Loa = 20 m; B = 5,5 m; H = 2,1 m; T = 1 m. Rescue boat kelas III dirancang dengan kecepatan sebesar 21 knot, sehingga membutuhkan 4 outboard motor dengan daya 700 HP tiap motornya. Kapal ini didesain dengan fasilitas yang mampu mengangkut 30 orang yang terdiri dari 4 orang ABK, 4 orang tenaga medis, serta sisanya untuk para korban dan anggota BASARNAS. Penentuan laminasi untuk rescue boat kelas III telah disesuaikan dengan formula yang terdapat di BKI Volume 5 Rules for FRP Ships edisi tahun 2016. Perlengkapan keselamatan untuk rescue boat kelas III juga telah disesuaikan dengan peraturan yang ada, mulai dari alat komunikasi, GPS, peralatan selam, peralatan kesehatan, lifebuoys, life jacket, dan peralatan keselamatan lainnya. Kata Kunci: rescue boat, kecelakaan kapal, FRP Abstract National Search and Rescue Agency (BASARNAS) for the Kendari region had handled 33 shipwrecks in 2020 in the waters of the city of Kendari. Based on the description of the problem that has been submitted, a Class III rescue boat (the length of the ship is between 20 to &lt; 30 m) made of Fiberglass Reinforced Plastics (FRP) is an alternative solution to add a rescue boat to the Kendari. Class III rescue boats are designed according to the rules issued by the National SAR Agency (BASARNAS) with the following ship sizes: Loa = 20 m; B = 5,5m; H = 2,1 m; T = 1 m. The class III rescue boat is designed with a speed of 21 knots, so it requires 4 outboard motors with a power of 700 HP per motor. This ship is designed with facilities capable of carrying 30 people consisting of 4 crew members, 4 medical personnel, and the rest for victims and BASARNAS members. The determination of the laminate for class III rescue boats has been adjusted to the formula contained in the 2016 edition of BKI Volume 5 Rules for FRP Ships. Safety equipment for class III rescue boats has also been adjusted to existing regulations, ranging from communicati…","author":[{"dropping-particle":"","family":"Syarifuddin","given":"Arief","non-dropping-particle":"","parse-names":false,"suffix":""},{"dropping-particle":"","family":"Irmiyana","given":"Triyanti","non-dropping-particle":"","parse-names":false,"suffix":""},{"dropping-particle":"","family":"Awal","given":"Farikhul","non-dropping-particle":"","parse-names":false,"suffix":""},{"dropping-particle":"","family":"Arianti","given":"Erdina","non-dropping-particle":"","parse-names":false,"suffix":""}],"container-title":"Jurnal Inovtek Polbeng","id":"ITEM-1","issue":"2","issued":{"date-parts":[["2021"]]},"title":"Desain Rescue Boat Kelas III Berbahan Fiberglass Reinforced Plastics di Perairan Kota Kendari Provinsi Sulawesi Tenggara Berdasarkan BKI Volume 5 Rules For FRP Tahun 2016","type":"article-journal","volume":"11"},"uris":["http://www.mendeley.com/documents/?uuid=b59668ba-92d0-44ea-b2fb-7d53aba300c8"]}],"mendeley":{"formattedCitation":"[8]","plainTextFormattedCitation":"[8]","previouslyFormattedCitation":"[8]"},"properties":{"noteIndex":0},"schema":"https://github.com/citation-style-language/schema/raw/master/csl-citation.json"}</w:instrText>
      </w:r>
      <w:r w:rsidRPr="00830115">
        <w:rPr>
          <w:sz w:val="20"/>
          <w:szCs w:val="20"/>
        </w:rPr>
        <w:fldChar w:fldCharType="separate"/>
      </w:r>
      <w:r w:rsidRPr="008F1774">
        <w:rPr>
          <w:noProof/>
          <w:sz w:val="20"/>
          <w:szCs w:val="20"/>
        </w:rPr>
        <w:t>[8]</w:t>
      </w:r>
      <w:r w:rsidRPr="00830115">
        <w:rPr>
          <w:sz w:val="20"/>
          <w:szCs w:val="20"/>
        </w:rPr>
        <w:fldChar w:fldCharType="end"/>
      </w:r>
    </w:p>
    <w:tbl>
      <w:tblPr>
        <w:tblStyle w:val="TableGrid"/>
        <w:tblW w:w="0" w:type="auto"/>
        <w:tblLook w:val="04A0" w:firstRow="1" w:lastRow="0" w:firstColumn="1" w:lastColumn="0" w:noHBand="0" w:noVBand="1"/>
      </w:tblPr>
      <w:tblGrid>
        <w:gridCol w:w="3842"/>
        <w:gridCol w:w="5184"/>
      </w:tblGrid>
      <w:tr w:rsidR="00AA49BB" w:rsidRPr="00830115" w14:paraId="5A2CEAAA" w14:textId="77777777" w:rsidTr="00773D50">
        <w:tc>
          <w:tcPr>
            <w:tcW w:w="3963" w:type="dxa"/>
            <w:tcBorders>
              <w:left w:val="nil"/>
              <w:bottom w:val="single" w:sz="4" w:space="0" w:color="auto"/>
              <w:right w:val="single" w:sz="4" w:space="0" w:color="auto"/>
            </w:tcBorders>
            <w:shd w:val="clear" w:color="auto" w:fill="FFFF00"/>
          </w:tcPr>
          <w:p w14:paraId="5A6904F5" w14:textId="77777777" w:rsidR="00AA49BB" w:rsidRPr="00830115" w:rsidRDefault="00AA49BB" w:rsidP="00021447">
            <w:pPr>
              <w:jc w:val="both"/>
              <w:rPr>
                <w:sz w:val="20"/>
                <w:szCs w:val="20"/>
              </w:rPr>
            </w:pPr>
            <w:r w:rsidRPr="00830115">
              <w:rPr>
                <w:sz w:val="20"/>
                <w:szCs w:val="20"/>
              </w:rPr>
              <w:t>Item</w:t>
            </w:r>
          </w:p>
        </w:tc>
        <w:tc>
          <w:tcPr>
            <w:tcW w:w="5397" w:type="dxa"/>
            <w:tcBorders>
              <w:left w:val="single" w:sz="4" w:space="0" w:color="auto"/>
              <w:bottom w:val="single" w:sz="4" w:space="0" w:color="auto"/>
              <w:right w:val="nil"/>
            </w:tcBorders>
            <w:shd w:val="clear" w:color="auto" w:fill="FFFF00"/>
          </w:tcPr>
          <w:p w14:paraId="09F0139C" w14:textId="77777777" w:rsidR="00AA49BB" w:rsidRPr="00830115" w:rsidRDefault="00AA49BB" w:rsidP="00021447">
            <w:pPr>
              <w:jc w:val="both"/>
              <w:rPr>
                <w:sz w:val="20"/>
                <w:szCs w:val="20"/>
              </w:rPr>
            </w:pPr>
            <w:r w:rsidRPr="00830115">
              <w:rPr>
                <w:sz w:val="20"/>
                <w:szCs w:val="20"/>
              </w:rPr>
              <w:t>Unit (m)</w:t>
            </w:r>
          </w:p>
        </w:tc>
      </w:tr>
      <w:tr w:rsidR="00AA49BB" w:rsidRPr="00830115" w14:paraId="3000E6BC" w14:textId="77777777" w:rsidTr="00773D50">
        <w:tc>
          <w:tcPr>
            <w:tcW w:w="3963" w:type="dxa"/>
            <w:tcBorders>
              <w:left w:val="nil"/>
              <w:bottom w:val="nil"/>
              <w:right w:val="single" w:sz="4" w:space="0" w:color="auto"/>
            </w:tcBorders>
          </w:tcPr>
          <w:p w14:paraId="08334EEF" w14:textId="77777777" w:rsidR="00AA49BB" w:rsidRPr="00830115" w:rsidRDefault="00AA49BB" w:rsidP="00021447">
            <w:pPr>
              <w:jc w:val="both"/>
              <w:rPr>
                <w:sz w:val="20"/>
                <w:szCs w:val="20"/>
              </w:rPr>
            </w:pPr>
            <w:r>
              <w:rPr>
                <w:sz w:val="20"/>
                <w:szCs w:val="20"/>
              </w:rPr>
              <w:t>Panjang Keseluruhan (LoA)</w:t>
            </w:r>
          </w:p>
        </w:tc>
        <w:tc>
          <w:tcPr>
            <w:tcW w:w="5397" w:type="dxa"/>
            <w:tcBorders>
              <w:left w:val="single" w:sz="4" w:space="0" w:color="auto"/>
              <w:bottom w:val="nil"/>
              <w:right w:val="nil"/>
            </w:tcBorders>
          </w:tcPr>
          <w:p w14:paraId="3367CBC4" w14:textId="77777777" w:rsidR="00AA49BB" w:rsidRPr="00830115" w:rsidRDefault="00AA49BB" w:rsidP="00021447">
            <w:pPr>
              <w:jc w:val="both"/>
              <w:rPr>
                <w:sz w:val="20"/>
                <w:szCs w:val="20"/>
              </w:rPr>
            </w:pPr>
            <w:r>
              <w:rPr>
                <w:sz w:val="20"/>
                <w:szCs w:val="20"/>
              </w:rPr>
              <w:t>20</w:t>
            </w:r>
          </w:p>
        </w:tc>
      </w:tr>
      <w:tr w:rsidR="00AA49BB" w:rsidRPr="00830115" w14:paraId="032F4CFB" w14:textId="77777777" w:rsidTr="00773D50">
        <w:tc>
          <w:tcPr>
            <w:tcW w:w="3963" w:type="dxa"/>
            <w:tcBorders>
              <w:top w:val="nil"/>
              <w:left w:val="nil"/>
              <w:bottom w:val="nil"/>
              <w:right w:val="single" w:sz="4" w:space="0" w:color="auto"/>
            </w:tcBorders>
          </w:tcPr>
          <w:p w14:paraId="2DA08D8B" w14:textId="77777777" w:rsidR="00AA49BB" w:rsidRPr="00830115" w:rsidRDefault="00AA49BB" w:rsidP="00021447">
            <w:pPr>
              <w:jc w:val="both"/>
              <w:rPr>
                <w:sz w:val="20"/>
                <w:szCs w:val="20"/>
              </w:rPr>
            </w:pPr>
            <w:r w:rsidRPr="00830115">
              <w:rPr>
                <w:sz w:val="20"/>
                <w:szCs w:val="20"/>
              </w:rPr>
              <w:t>Panjang Garis Awal (Lwl)</w:t>
            </w:r>
          </w:p>
        </w:tc>
        <w:tc>
          <w:tcPr>
            <w:tcW w:w="5397" w:type="dxa"/>
            <w:tcBorders>
              <w:top w:val="nil"/>
              <w:left w:val="single" w:sz="4" w:space="0" w:color="auto"/>
              <w:bottom w:val="nil"/>
              <w:right w:val="nil"/>
            </w:tcBorders>
          </w:tcPr>
          <w:p w14:paraId="0362DFC5" w14:textId="77777777" w:rsidR="00AA49BB" w:rsidRPr="00830115" w:rsidRDefault="00AA49BB" w:rsidP="00021447">
            <w:pPr>
              <w:jc w:val="both"/>
              <w:rPr>
                <w:sz w:val="20"/>
                <w:szCs w:val="20"/>
              </w:rPr>
            </w:pPr>
            <w:r w:rsidRPr="00830115">
              <w:rPr>
                <w:sz w:val="20"/>
                <w:szCs w:val="20"/>
              </w:rPr>
              <w:t>19,28</w:t>
            </w:r>
          </w:p>
        </w:tc>
      </w:tr>
      <w:tr w:rsidR="00AA49BB" w:rsidRPr="00830115" w14:paraId="3771E4A5" w14:textId="77777777" w:rsidTr="00773D50">
        <w:tc>
          <w:tcPr>
            <w:tcW w:w="3963" w:type="dxa"/>
            <w:tcBorders>
              <w:top w:val="nil"/>
              <w:left w:val="nil"/>
              <w:bottom w:val="nil"/>
              <w:right w:val="single" w:sz="4" w:space="0" w:color="auto"/>
            </w:tcBorders>
          </w:tcPr>
          <w:p w14:paraId="48A8E671" w14:textId="77777777" w:rsidR="00AA49BB" w:rsidRPr="00830115" w:rsidRDefault="00AA49BB" w:rsidP="00021447">
            <w:pPr>
              <w:jc w:val="both"/>
              <w:rPr>
                <w:sz w:val="20"/>
                <w:szCs w:val="20"/>
              </w:rPr>
            </w:pPr>
            <w:r w:rsidRPr="00830115">
              <w:rPr>
                <w:sz w:val="20"/>
                <w:szCs w:val="20"/>
              </w:rPr>
              <w:t>Panjang Antara Garis Tegak</w:t>
            </w:r>
            <w:r w:rsidRPr="00830115">
              <w:rPr>
                <w:color w:val="FFFFFF" w:themeColor="background1"/>
                <w:sz w:val="20"/>
                <w:szCs w:val="20"/>
              </w:rPr>
              <w:t>k</w:t>
            </w:r>
            <w:r w:rsidRPr="00830115">
              <w:rPr>
                <w:sz w:val="20"/>
                <w:szCs w:val="20"/>
              </w:rPr>
              <w:t>(Lpp)</w:t>
            </w:r>
          </w:p>
        </w:tc>
        <w:tc>
          <w:tcPr>
            <w:tcW w:w="5397" w:type="dxa"/>
            <w:tcBorders>
              <w:top w:val="nil"/>
              <w:left w:val="single" w:sz="4" w:space="0" w:color="auto"/>
              <w:bottom w:val="nil"/>
              <w:right w:val="nil"/>
            </w:tcBorders>
          </w:tcPr>
          <w:p w14:paraId="129D4BCE" w14:textId="77777777" w:rsidR="00AA49BB" w:rsidRPr="00830115" w:rsidRDefault="00AA49BB" w:rsidP="00021447">
            <w:pPr>
              <w:jc w:val="both"/>
              <w:rPr>
                <w:sz w:val="20"/>
                <w:szCs w:val="20"/>
              </w:rPr>
            </w:pPr>
            <w:r w:rsidRPr="00830115">
              <w:rPr>
                <w:sz w:val="20"/>
                <w:szCs w:val="20"/>
              </w:rPr>
              <w:t>19,28</w:t>
            </w:r>
          </w:p>
        </w:tc>
      </w:tr>
      <w:tr w:rsidR="00AA49BB" w:rsidRPr="00830115" w14:paraId="6EC5A679" w14:textId="77777777" w:rsidTr="00773D50">
        <w:tc>
          <w:tcPr>
            <w:tcW w:w="3963" w:type="dxa"/>
            <w:tcBorders>
              <w:top w:val="nil"/>
              <w:left w:val="nil"/>
              <w:bottom w:val="nil"/>
              <w:right w:val="single" w:sz="4" w:space="0" w:color="auto"/>
            </w:tcBorders>
          </w:tcPr>
          <w:p w14:paraId="275D5A5F" w14:textId="77777777" w:rsidR="00AA49BB" w:rsidRPr="00830115" w:rsidRDefault="00AA49BB" w:rsidP="00021447">
            <w:pPr>
              <w:jc w:val="both"/>
              <w:rPr>
                <w:sz w:val="20"/>
                <w:szCs w:val="20"/>
              </w:rPr>
            </w:pPr>
            <w:r w:rsidRPr="00830115">
              <w:rPr>
                <w:sz w:val="20"/>
                <w:szCs w:val="20"/>
              </w:rPr>
              <w:t>Lebar</w:t>
            </w:r>
            <w:r w:rsidRPr="00830115">
              <w:rPr>
                <w:color w:val="FFFFFF" w:themeColor="background1"/>
                <w:sz w:val="20"/>
                <w:szCs w:val="20"/>
              </w:rPr>
              <w:t>i</w:t>
            </w:r>
            <w:r w:rsidRPr="00830115">
              <w:rPr>
                <w:sz w:val="20"/>
                <w:szCs w:val="20"/>
              </w:rPr>
              <w:t>(B)</w:t>
            </w:r>
          </w:p>
        </w:tc>
        <w:tc>
          <w:tcPr>
            <w:tcW w:w="5397" w:type="dxa"/>
            <w:tcBorders>
              <w:top w:val="nil"/>
              <w:left w:val="single" w:sz="4" w:space="0" w:color="auto"/>
              <w:bottom w:val="nil"/>
              <w:right w:val="nil"/>
            </w:tcBorders>
          </w:tcPr>
          <w:p w14:paraId="4360AC7A" w14:textId="77777777" w:rsidR="00AA49BB" w:rsidRPr="00830115" w:rsidRDefault="00AA49BB" w:rsidP="00021447">
            <w:pPr>
              <w:jc w:val="both"/>
              <w:rPr>
                <w:sz w:val="20"/>
                <w:szCs w:val="20"/>
              </w:rPr>
            </w:pPr>
            <w:r w:rsidRPr="00830115">
              <w:rPr>
                <w:sz w:val="20"/>
                <w:szCs w:val="20"/>
              </w:rPr>
              <w:t>5,5</w:t>
            </w:r>
          </w:p>
        </w:tc>
      </w:tr>
      <w:tr w:rsidR="00AA49BB" w:rsidRPr="00830115" w14:paraId="197E00C8" w14:textId="77777777" w:rsidTr="00773D50">
        <w:tc>
          <w:tcPr>
            <w:tcW w:w="3963" w:type="dxa"/>
            <w:tcBorders>
              <w:top w:val="nil"/>
              <w:left w:val="nil"/>
              <w:bottom w:val="nil"/>
              <w:right w:val="single" w:sz="4" w:space="0" w:color="auto"/>
            </w:tcBorders>
          </w:tcPr>
          <w:p w14:paraId="2F906E36" w14:textId="77777777" w:rsidR="00AA49BB" w:rsidRPr="00830115" w:rsidRDefault="00AA49BB" w:rsidP="00021447">
            <w:pPr>
              <w:jc w:val="both"/>
              <w:rPr>
                <w:sz w:val="20"/>
                <w:szCs w:val="20"/>
              </w:rPr>
            </w:pPr>
            <w:r w:rsidRPr="00830115">
              <w:rPr>
                <w:sz w:val="20"/>
                <w:szCs w:val="20"/>
              </w:rPr>
              <w:t>Tinggi</w:t>
            </w:r>
            <w:r w:rsidRPr="00830115">
              <w:rPr>
                <w:color w:val="FFFFFF" w:themeColor="background1"/>
                <w:sz w:val="20"/>
                <w:szCs w:val="20"/>
              </w:rPr>
              <w:t>i</w:t>
            </w:r>
            <w:r w:rsidRPr="00830115">
              <w:rPr>
                <w:sz w:val="20"/>
                <w:szCs w:val="20"/>
              </w:rPr>
              <w:t>(D)</w:t>
            </w:r>
          </w:p>
        </w:tc>
        <w:tc>
          <w:tcPr>
            <w:tcW w:w="5397" w:type="dxa"/>
            <w:tcBorders>
              <w:top w:val="nil"/>
              <w:left w:val="single" w:sz="4" w:space="0" w:color="auto"/>
              <w:bottom w:val="nil"/>
              <w:right w:val="nil"/>
            </w:tcBorders>
          </w:tcPr>
          <w:p w14:paraId="52E0EA01" w14:textId="77777777" w:rsidR="00AA49BB" w:rsidRPr="00830115" w:rsidRDefault="00AA49BB" w:rsidP="00021447">
            <w:pPr>
              <w:jc w:val="both"/>
              <w:rPr>
                <w:sz w:val="20"/>
                <w:szCs w:val="20"/>
              </w:rPr>
            </w:pPr>
            <w:r w:rsidRPr="00830115">
              <w:rPr>
                <w:sz w:val="20"/>
                <w:szCs w:val="20"/>
              </w:rPr>
              <w:t>2,1</w:t>
            </w:r>
          </w:p>
        </w:tc>
      </w:tr>
      <w:tr w:rsidR="00AA49BB" w:rsidRPr="00830115" w14:paraId="498DF2C3" w14:textId="77777777" w:rsidTr="00773D50">
        <w:tc>
          <w:tcPr>
            <w:tcW w:w="3963" w:type="dxa"/>
            <w:tcBorders>
              <w:top w:val="nil"/>
              <w:left w:val="nil"/>
              <w:right w:val="single" w:sz="4" w:space="0" w:color="auto"/>
            </w:tcBorders>
          </w:tcPr>
          <w:p w14:paraId="11F0B906" w14:textId="77777777" w:rsidR="00AA49BB" w:rsidRPr="00830115" w:rsidRDefault="00AA49BB" w:rsidP="00021447">
            <w:pPr>
              <w:jc w:val="both"/>
              <w:rPr>
                <w:sz w:val="20"/>
                <w:szCs w:val="20"/>
              </w:rPr>
            </w:pPr>
            <w:r w:rsidRPr="00830115">
              <w:rPr>
                <w:sz w:val="20"/>
                <w:szCs w:val="20"/>
              </w:rPr>
              <w:t>Sarat</w:t>
            </w:r>
            <w:r w:rsidRPr="00830115">
              <w:rPr>
                <w:color w:val="FFFFFF" w:themeColor="background1"/>
                <w:sz w:val="20"/>
                <w:szCs w:val="20"/>
              </w:rPr>
              <w:t>t</w:t>
            </w:r>
            <w:r w:rsidRPr="00830115">
              <w:rPr>
                <w:sz w:val="20"/>
                <w:szCs w:val="20"/>
              </w:rPr>
              <w:t>(T)</w:t>
            </w:r>
          </w:p>
        </w:tc>
        <w:tc>
          <w:tcPr>
            <w:tcW w:w="5397" w:type="dxa"/>
            <w:tcBorders>
              <w:top w:val="nil"/>
              <w:left w:val="single" w:sz="4" w:space="0" w:color="auto"/>
              <w:right w:val="nil"/>
            </w:tcBorders>
          </w:tcPr>
          <w:p w14:paraId="5AF6CFC7" w14:textId="77777777" w:rsidR="00AA49BB" w:rsidRPr="00830115" w:rsidRDefault="00AA49BB" w:rsidP="00021447">
            <w:pPr>
              <w:jc w:val="both"/>
              <w:rPr>
                <w:sz w:val="20"/>
                <w:szCs w:val="20"/>
              </w:rPr>
            </w:pPr>
            <w:r w:rsidRPr="00830115">
              <w:rPr>
                <w:sz w:val="20"/>
                <w:szCs w:val="20"/>
              </w:rPr>
              <w:t>1</w:t>
            </w:r>
          </w:p>
        </w:tc>
      </w:tr>
    </w:tbl>
    <w:p w14:paraId="50B35BDB" w14:textId="77777777" w:rsidR="00955971" w:rsidRPr="00AA49BB" w:rsidRDefault="00955971" w:rsidP="00AA49BB"/>
    <w:sectPr w:rsidR="00955971" w:rsidRPr="00AA49BB" w:rsidSect="009778FC">
      <w:pgSz w:w="11906" w:h="16838"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49BB"/>
    <w:rsid w:val="005D51DC"/>
    <w:rsid w:val="00773D50"/>
    <w:rsid w:val="00955971"/>
    <w:rsid w:val="009778FC"/>
    <w:rsid w:val="00AA49BB"/>
    <w:rsid w:val="00C92C62"/>
    <w:rsid w:val="00DB1F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8C9C0"/>
  <w15:chartTrackingRefBased/>
  <w15:docId w15:val="{4F383A81-DA61-4545-949A-EF4244E3C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49BB"/>
    <w:pPr>
      <w:suppressAutoHyphens/>
      <w:spacing w:after="0" w:line="240" w:lineRule="auto"/>
    </w:pPr>
    <w:rPr>
      <w:rFonts w:ascii="Times New Roman" w:eastAsia="Times New Roman" w:hAnsi="Times New Roman" w:cs="Times New Roman"/>
      <w:kern w:val="0"/>
      <w:sz w:val="24"/>
      <w:szCs w:val="24"/>
      <w:lang w:eastAsia="zh-C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A49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586</Words>
  <Characters>3346</Characters>
  <Application>Microsoft Office Word</Application>
  <DocSecurity>0</DocSecurity>
  <Lines>27</Lines>
  <Paragraphs>7</Paragraphs>
  <ScaleCrop>false</ScaleCrop>
  <Company/>
  <LinksUpToDate>false</LinksUpToDate>
  <CharactersWithSpaces>3925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sayyidMuh</dc:creator>
  <cp:keywords/>
  <dc:description/>
  <cp:lastModifiedBy>sayyidMuh</cp:lastModifiedBy>
  <cp:revision>2</cp:revision>
  <dcterms:created xsi:type="dcterms:W3CDTF">2024-05-28T10:07:00Z</dcterms:created>
  <dcterms:modified xsi:type="dcterms:W3CDTF">2024-05-28T10:11:00Z</dcterms:modified>
</cp:coreProperties>
</file>