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8C7B" w14:textId="47DE7731" w:rsidR="00964046" w:rsidRPr="00D63956" w:rsidRDefault="00964046" w:rsidP="00D639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Dari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Hambatan-Hambatan</w:t>
      </w:r>
      <w:proofErr w:type="spellEnd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Dalam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Pembentukan</w:t>
      </w:r>
      <w:proofErr w:type="spellEnd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Sikap</w:t>
      </w:r>
      <w:proofErr w:type="spellEnd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Keagamaan</w:t>
      </w:r>
      <w:proofErr w:type="spellEnd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="00D63956" w:rsidRPr="00D63956">
        <w:rPr>
          <w:rFonts w:ascii="Times New Roman" w:hAnsi="Times New Roman" w:cs="Times New Roman"/>
          <w:b/>
          <w:bCs/>
          <w:sz w:val="24"/>
          <w:szCs w:val="24"/>
        </w:rPr>
        <w:t>Remaja</w:t>
      </w:r>
      <w:proofErr w:type="spellEnd"/>
    </w:p>
    <w:p w14:paraId="2B8A7BFA" w14:textId="7C558280" w:rsidR="00964046" w:rsidRPr="00D63956" w:rsidRDefault="00C742A1" w:rsidP="00D63956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FF4F6C9" wp14:editId="6E6C2041">
            <wp:simplePos x="0" y="0"/>
            <wp:positionH relativeFrom="column">
              <wp:posOffset>2505075</wp:posOffset>
            </wp:positionH>
            <wp:positionV relativeFrom="paragraph">
              <wp:posOffset>205740</wp:posOffset>
            </wp:positionV>
            <wp:extent cx="2752725" cy="2238375"/>
            <wp:effectExtent l="0" t="0" r="9525" b="9525"/>
            <wp:wrapNone/>
            <wp:docPr id="24104248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046" w:rsidRPr="00D63956">
        <w:rPr>
          <w:rFonts w:ascii="Times New Roman" w:hAnsi="Times New Roman" w:cs="Times New Roman"/>
          <w:sz w:val="24"/>
          <w:szCs w:val="24"/>
        </w:rPr>
        <w:t xml:space="preserve">Data yang </w:t>
      </w:r>
      <w:proofErr w:type="spellStart"/>
      <w:r w:rsidR="00964046" w:rsidRPr="00D63956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964046" w:rsidRPr="00D63956">
        <w:rPr>
          <w:rFonts w:ascii="Times New Roman" w:hAnsi="Times New Roman" w:cs="Times New Roman"/>
          <w:sz w:val="24"/>
          <w:szCs w:val="24"/>
        </w:rPr>
        <w:t>:</w:t>
      </w:r>
    </w:p>
    <w:p w14:paraId="1DEB76EF" w14:textId="764250F1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D63956">
        <w:rPr>
          <w:rFonts w:ascii="Times New Roman" w:hAnsi="Times New Roman" w:cs="Times New Roman"/>
          <w:sz w:val="24"/>
          <w:szCs w:val="24"/>
        </w:rPr>
        <w:tab/>
      </w:r>
      <w:r w:rsidRPr="00D63956">
        <w:rPr>
          <w:rFonts w:ascii="Times New Roman" w:hAnsi="Times New Roman" w:cs="Times New Roman"/>
          <w:sz w:val="24"/>
          <w:szCs w:val="24"/>
        </w:rPr>
        <w:t xml:space="preserve">: </w:t>
      </w:r>
      <w:r w:rsidR="00971A30" w:rsidRPr="00D63956">
        <w:rPr>
          <w:rFonts w:ascii="Times New Roman" w:hAnsi="Times New Roman" w:cs="Times New Roman"/>
          <w:sz w:val="24"/>
          <w:szCs w:val="24"/>
        </w:rPr>
        <w:t>30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3956">
        <w:rPr>
          <w:rFonts w:ascii="Times New Roman" w:hAnsi="Times New Roman" w:cs="Times New Roman"/>
          <w:sz w:val="24"/>
          <w:szCs w:val="24"/>
        </w:rPr>
        <w:t>orang</w:t>
      </w:r>
      <w:proofErr w:type="gramEnd"/>
    </w:p>
    <w:p w14:paraId="31BCCF5B" w14:textId="5790E3AE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D63956">
        <w:rPr>
          <w:rFonts w:ascii="Times New Roman" w:hAnsi="Times New Roman" w:cs="Times New Roman"/>
          <w:sz w:val="24"/>
          <w:szCs w:val="24"/>
        </w:rPr>
        <w:tab/>
      </w:r>
      <w:r w:rsidRPr="00D63956">
        <w:rPr>
          <w:rFonts w:ascii="Times New Roman" w:hAnsi="Times New Roman" w:cs="Times New Roman"/>
          <w:sz w:val="24"/>
          <w:szCs w:val="24"/>
        </w:rPr>
        <w:t xml:space="preserve">: 10 </w:t>
      </w:r>
      <w:proofErr w:type="gramStart"/>
      <w:r w:rsidRPr="00D63956">
        <w:rPr>
          <w:rFonts w:ascii="Times New Roman" w:hAnsi="Times New Roman" w:cs="Times New Roman"/>
          <w:sz w:val="24"/>
          <w:szCs w:val="24"/>
        </w:rPr>
        <w:t>orang</w:t>
      </w:r>
      <w:proofErr w:type="gram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97489" w14:textId="3C64A688" w:rsidR="0096404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>Guru</w:t>
      </w:r>
      <w:r w:rsidR="00D63956">
        <w:rPr>
          <w:rFonts w:ascii="Times New Roman" w:hAnsi="Times New Roman" w:cs="Times New Roman"/>
          <w:sz w:val="24"/>
          <w:szCs w:val="24"/>
        </w:rPr>
        <w:tab/>
      </w:r>
      <w:r w:rsidRPr="00D63956">
        <w:rPr>
          <w:rFonts w:ascii="Times New Roman" w:hAnsi="Times New Roman" w:cs="Times New Roman"/>
          <w:sz w:val="24"/>
          <w:szCs w:val="24"/>
        </w:rPr>
        <w:t xml:space="preserve">: </w:t>
      </w:r>
      <w:r w:rsidR="00D63956">
        <w:rPr>
          <w:rFonts w:ascii="Times New Roman" w:hAnsi="Times New Roman" w:cs="Times New Roman"/>
          <w:sz w:val="24"/>
          <w:szCs w:val="24"/>
        </w:rPr>
        <w:t>10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3956">
        <w:rPr>
          <w:rFonts w:ascii="Times New Roman" w:hAnsi="Times New Roman" w:cs="Times New Roman"/>
          <w:sz w:val="24"/>
          <w:szCs w:val="24"/>
        </w:rPr>
        <w:t>orang</w:t>
      </w:r>
      <w:proofErr w:type="gramEnd"/>
    </w:p>
    <w:p w14:paraId="0CFCC4F7" w14:textId="573BED8C" w:rsidR="0095211F" w:rsidRDefault="0095211F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8C81BBA" w14:textId="77777777" w:rsidR="0095211F" w:rsidRDefault="0095211F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F23413" w14:textId="77777777" w:rsidR="00C742A1" w:rsidRDefault="00C742A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9944600" w14:textId="77777777" w:rsidR="00D63956" w:rsidRPr="00D63956" w:rsidRDefault="00D63956" w:rsidP="00D639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12FA32" w14:textId="5EAB3645" w:rsidR="00964046" w:rsidRPr="00D63956" w:rsidRDefault="00964046" w:rsidP="00D63956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Perolehan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data</w:t>
      </w:r>
    </w:p>
    <w:p w14:paraId="6739DCBE" w14:textId="734E314B" w:rsidR="00E020C6" w:rsidRDefault="00E020C6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956">
        <w:rPr>
          <w:rFonts w:ascii="Times New Roman" w:hAnsi="Times New Roman" w:cs="Times New Roman"/>
          <w:b/>
          <w:bCs/>
          <w:sz w:val="24"/>
          <w:szCs w:val="24"/>
        </w:rPr>
        <w:t>REMAJA</w:t>
      </w:r>
    </w:p>
    <w:p w14:paraId="0336E007" w14:textId="03A8E60F" w:rsidR="00BB5B5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B7269E" wp14:editId="62695142">
            <wp:simplePos x="0" y="0"/>
            <wp:positionH relativeFrom="column">
              <wp:posOffset>831215</wp:posOffset>
            </wp:positionH>
            <wp:positionV relativeFrom="paragraph">
              <wp:posOffset>98332</wp:posOffset>
            </wp:positionV>
            <wp:extent cx="4216400" cy="2430780"/>
            <wp:effectExtent l="0" t="0" r="12700" b="7620"/>
            <wp:wrapNone/>
            <wp:docPr id="4751735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04E4CE4-E1EF-B59C-2BF4-B3266B0022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14:paraId="6D599D7C" w14:textId="3975948C" w:rsidR="00BB5B50" w:rsidRDefault="00BB5B5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12F5E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BF0123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F60C5A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88D15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D8F3B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DA1C1" w14:textId="77777777" w:rsidR="00F15360" w:rsidRDefault="00F15360" w:rsidP="00F15360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DEDB69" w14:textId="7E15D595" w:rsidR="00BB5B50" w:rsidRPr="00D63956" w:rsidRDefault="00BB5B5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7DDBC" w14:textId="7EA3A690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971A30" w:rsidRPr="00D63956">
        <w:rPr>
          <w:rFonts w:ascii="Times New Roman" w:hAnsi="Times New Roman" w:cs="Times New Roman"/>
          <w:sz w:val="24"/>
          <w:szCs w:val="24"/>
        </w:rPr>
        <w:t xml:space="preserve"> (3orang)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588A82" w14:textId="51251038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Kurangnya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Pemahaman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tentang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Agama:</w:t>
      </w:r>
      <w:r w:rsidRPr="00D63956">
        <w:rPr>
          <w:rFonts w:ascii="Times New Roman" w:hAnsi="Times New Roman" w:cs="Times New Roman"/>
          <w:sz w:val="24"/>
          <w:szCs w:val="24"/>
        </w:rPr>
        <w:t xml:space="preserve"> Sebagian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mengungkapkan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prinsip-prinsip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Ini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seringkali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15EC11EF" w14:textId="0E5182DD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</w:t>
      </w:r>
      <w:r w:rsidR="00EC08B1" w:rsidRPr="00D63956">
        <w:rPr>
          <w:rFonts w:ascii="Times New Roman" w:hAnsi="Times New Roman" w:cs="Times New Roman"/>
          <w:sz w:val="24"/>
          <w:szCs w:val="24"/>
        </w:rPr>
        <w:t>4</w:t>
      </w:r>
      <w:r w:rsidR="00971A30" w:rsidRPr="00D63956">
        <w:rPr>
          <w:rFonts w:ascii="Times New Roman" w:hAnsi="Times New Roman" w:cs="Times New Roman"/>
          <w:sz w:val="24"/>
          <w:szCs w:val="24"/>
        </w:rPr>
        <w:t>)</w:t>
      </w:r>
    </w:p>
    <w:p w14:paraId="2F506F6A" w14:textId="0F1C1ACF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Teman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Negatif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Banyak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mengakui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sopan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berjudi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mencuri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Mereka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norma-norma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443D3B3C" w14:textId="378D104E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(5)</w:t>
      </w:r>
    </w:p>
    <w:p w14:paraId="667062D9" w14:textId="7A530AB9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lastRenderedPageBreak/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Media dan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Hiburan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yang Tidak Sehat: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media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hiburan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konsumsi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Konten-konten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mempromosikan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gaya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berlawanan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ajaran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tergoda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5ECF4F0B" w14:textId="4E98B83E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(3)</w:t>
      </w:r>
    </w:p>
    <w:p w14:paraId="5F53882C" w14:textId="2E6A17F2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Tuntutan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Prestasi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Ekstrakurikuler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Intensif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menyebutkan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tuntutan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ekstrakurikuler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intensif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372577C8" w14:textId="4A6BBE62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(4)</w:t>
      </w:r>
    </w:p>
    <w:p w14:paraId="6E36DE60" w14:textId="41CDF116" w:rsidR="00964046" w:rsidRPr="00D63956" w:rsidRDefault="0096404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Konflik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Keluarga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Ketidakharmonisan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praktik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kondusif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4BD8E65D" w14:textId="0DE347E9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(4)</w:t>
      </w:r>
    </w:p>
    <w:p w14:paraId="3B49C25B" w14:textId="7B7FF32C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dan Gadget: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terjerumus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gadget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menghalangi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alokasikan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76A0CF00" w14:textId="194C4006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(4)</w:t>
      </w:r>
    </w:p>
    <w:p w14:paraId="10E3B3F4" w14:textId="44BCA411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Ketidakpastian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Kecemasan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tentang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Masa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Depan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cemas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yakin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ketidakpastian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politik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mengalihkan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keinginan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dunia material.</w:t>
      </w:r>
    </w:p>
    <w:p w14:paraId="13EEF36D" w14:textId="5BBD1035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(1)</w:t>
      </w:r>
    </w:p>
    <w:p w14:paraId="0FCCC112" w14:textId="339D11C0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Pengalaman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Trauma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Kekecewaan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Agama: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traumatis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kekecewaan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konflik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penyalahgunaan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kekuasaan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tokoh-tokoh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agama. Hal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2BBEB729" w14:textId="12E264EF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(1)</w:t>
      </w:r>
    </w:p>
    <w:p w14:paraId="71A9A9FC" w14:textId="2B18370F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Pandangan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Dunia Modern: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dunia modern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sekuler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materialistik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5B05035A" w14:textId="0432C7E4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r w:rsidR="00971A30" w:rsidRPr="00D63956">
        <w:rPr>
          <w:rFonts w:ascii="Times New Roman" w:hAnsi="Times New Roman" w:cs="Times New Roman"/>
          <w:sz w:val="24"/>
          <w:szCs w:val="24"/>
        </w:rPr>
        <w:t>(1)</w:t>
      </w:r>
    </w:p>
    <w:p w14:paraId="319268DB" w14:textId="4BB12660" w:rsidR="00EC08B1" w:rsidRPr="00D63956" w:rsidRDefault="00EC08B1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Negatif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Figur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Publik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Tokoh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Terkenal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figur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tokoh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terkenal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kagumi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tokoh-tokoh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bertentangan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membingungkan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menyulitkan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07F17EB6" w14:textId="4ACEE51F" w:rsidR="00EC08B1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BB24F17" wp14:editId="4813CD65">
            <wp:simplePos x="0" y="0"/>
            <wp:positionH relativeFrom="column">
              <wp:posOffset>1122029</wp:posOffset>
            </wp:positionH>
            <wp:positionV relativeFrom="paragraph">
              <wp:posOffset>282327</wp:posOffset>
            </wp:positionV>
            <wp:extent cx="3545298" cy="2044391"/>
            <wp:effectExtent l="0" t="0" r="17145" b="13335"/>
            <wp:wrapNone/>
            <wp:docPr id="16659009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4F42EEC-BFDD-42B4-748A-A41C8D9FBE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0C6" w:rsidRPr="00D63956">
        <w:rPr>
          <w:rFonts w:ascii="Times New Roman" w:hAnsi="Times New Roman" w:cs="Times New Roman"/>
          <w:b/>
          <w:bCs/>
          <w:sz w:val="24"/>
          <w:szCs w:val="24"/>
        </w:rPr>
        <w:t>ORANG TUA</w:t>
      </w:r>
    </w:p>
    <w:p w14:paraId="238403DC" w14:textId="32F3B761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E1E9C" w14:textId="77777777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004A44" w14:textId="77777777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798670" w14:textId="77777777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9A1BA0" w14:textId="5ACE17C0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488E1" w14:textId="77777777" w:rsidR="00F15360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95E54" w14:textId="77777777" w:rsidR="00F15360" w:rsidRPr="00D63956" w:rsidRDefault="00F15360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9F572" w14:textId="74EC4D75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632D32C4" w14:textId="2864889A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Media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: 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prihatin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media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Mereka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khawatir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eksposur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spiritual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33D9429B" w14:textId="1AA4237F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25F270F7" w14:textId="564DF3A1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Kurangnya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Pendidikan Agama yang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Memadai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menyadari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yang solid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Mereka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frustrasi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komunitas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pembentukan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07884A9F" w14:textId="00719A2E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21348B8A" w14:textId="3391501B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Kekhawatiran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akan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Teman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peduli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Mereka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khawatir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pergaulan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68BAEEFA" w14:textId="5B9363AE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063EF37" w14:textId="307FA3F7" w:rsidR="00E020C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Perubahan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Sosial dan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Lingkungan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Sekitar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menavigasi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sekular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berubah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Mereka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arahan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tantangan-tantangan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18632A74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649EE8E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7A4ED69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B752EB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61C3826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395183B" w14:textId="77777777" w:rsidR="00A50228" w:rsidRPr="00D63956" w:rsidRDefault="00A50228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BC1F9D2" w14:textId="466E66E3" w:rsidR="00E020C6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00974921" wp14:editId="2F54D2C8">
            <wp:simplePos x="0" y="0"/>
            <wp:positionH relativeFrom="column">
              <wp:posOffset>1233046</wp:posOffset>
            </wp:positionH>
            <wp:positionV relativeFrom="paragraph">
              <wp:posOffset>215126</wp:posOffset>
            </wp:positionV>
            <wp:extent cx="3820919" cy="2133600"/>
            <wp:effectExtent l="0" t="0" r="8255" b="0"/>
            <wp:wrapNone/>
            <wp:docPr id="1158294181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r w:rsidR="00E020C6" w:rsidRPr="00D63956">
        <w:rPr>
          <w:rFonts w:ascii="Times New Roman" w:hAnsi="Times New Roman" w:cs="Times New Roman"/>
          <w:b/>
          <w:bCs/>
          <w:sz w:val="24"/>
          <w:szCs w:val="24"/>
        </w:rPr>
        <w:t>GURU</w:t>
      </w:r>
    </w:p>
    <w:p w14:paraId="7FDC2F96" w14:textId="1DCFC2BC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ADCC5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A03BC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6890A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FCE42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F899E" w14:textId="77777777" w:rsidR="00A50228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9C1C9A" w14:textId="4102E16D" w:rsidR="00A50228" w:rsidRPr="00D63956" w:rsidRDefault="00A50228" w:rsidP="00D63956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A6E6C" w14:textId="0457C32E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>Guru (</w:t>
      </w:r>
      <w:r w:rsidR="00D63956" w:rsidRPr="00D63956">
        <w:rPr>
          <w:rFonts w:ascii="Times New Roman" w:hAnsi="Times New Roman" w:cs="Times New Roman"/>
          <w:sz w:val="24"/>
          <w:szCs w:val="24"/>
        </w:rPr>
        <w:t>2</w:t>
      </w:r>
      <w:r w:rsidRPr="00D63956">
        <w:rPr>
          <w:rFonts w:ascii="Times New Roman" w:hAnsi="Times New Roman" w:cs="Times New Roman"/>
          <w:sz w:val="24"/>
          <w:szCs w:val="24"/>
        </w:rPr>
        <w:t>)</w:t>
      </w:r>
    </w:p>
    <w:p w14:paraId="4D73D8F8" w14:textId="0BB3E82B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Keterbatasan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Pengetahuan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Agama di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Kalangan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Guru:</w:t>
      </w:r>
      <w:r w:rsidRPr="00D63956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keterbatasan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 di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kalangan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guru. Jika guru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agama-agama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memadai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42EDEDDF" w14:textId="19EC0800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>Guru (4)</w:t>
      </w:r>
    </w:p>
    <w:p w14:paraId="0FDE70EC" w14:textId="0EFBAB24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Peran Media Sosial dan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Membentuk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Perspektif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Para guru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perspektif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seringkali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diverifikasi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sensationalist,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membingungkan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disadari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p w14:paraId="34AD149D" w14:textId="6E747029" w:rsidR="00D63956" w:rsidRPr="00D63956" w:rsidRDefault="00D6395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3956">
        <w:rPr>
          <w:rFonts w:ascii="Times New Roman" w:hAnsi="Times New Roman" w:cs="Times New Roman"/>
          <w:sz w:val="24"/>
          <w:szCs w:val="24"/>
        </w:rPr>
        <w:t>Guru (4)</w:t>
      </w:r>
    </w:p>
    <w:p w14:paraId="67E12DF6" w14:textId="4813A4FB" w:rsidR="00E020C6" w:rsidRPr="00D63956" w:rsidRDefault="00E020C6" w:rsidP="00D6395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Lingkungan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Teman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 xml:space="preserve"> Tidak </w:t>
      </w:r>
      <w:proofErr w:type="spellStart"/>
      <w:r w:rsidRPr="00D63956">
        <w:rPr>
          <w:rFonts w:ascii="Times New Roman" w:hAnsi="Times New Roman" w:cs="Times New Roman"/>
          <w:b/>
          <w:bCs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norma-norma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bertentangan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sebaya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memprioritaskan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pembentukan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63956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D63956">
        <w:rPr>
          <w:rFonts w:ascii="Times New Roman" w:hAnsi="Times New Roman" w:cs="Times New Roman"/>
          <w:sz w:val="24"/>
          <w:szCs w:val="24"/>
        </w:rPr>
        <w:t>.</w:t>
      </w:r>
    </w:p>
    <w:sectPr w:rsidR="00E020C6" w:rsidRPr="00D63956" w:rsidSect="001B47C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344CA"/>
    <w:multiLevelType w:val="hybridMultilevel"/>
    <w:tmpl w:val="BE9E4658"/>
    <w:lvl w:ilvl="0" w:tplc="3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25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046"/>
    <w:rsid w:val="000A1CEA"/>
    <w:rsid w:val="001B47CB"/>
    <w:rsid w:val="003374B1"/>
    <w:rsid w:val="006C0866"/>
    <w:rsid w:val="007E2515"/>
    <w:rsid w:val="008A18B0"/>
    <w:rsid w:val="0095211F"/>
    <w:rsid w:val="00964046"/>
    <w:rsid w:val="00971A30"/>
    <w:rsid w:val="00A50228"/>
    <w:rsid w:val="00BB5B50"/>
    <w:rsid w:val="00C742A1"/>
    <w:rsid w:val="00D63956"/>
    <w:rsid w:val="00E020C6"/>
    <w:rsid w:val="00EC08B1"/>
    <w:rsid w:val="00F1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6ECC9"/>
  <w15:chartTrackingRefBased/>
  <w15:docId w15:val="{D3993B98-A154-436C-B4B2-1B78200C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956"/>
    <w:pPr>
      <w:ind w:left="720"/>
      <w:contextualSpacing/>
    </w:pPr>
  </w:style>
  <w:style w:type="table" w:styleId="TableGrid">
    <w:name w:val="Table Grid"/>
    <w:basedOn w:val="TableNormal"/>
    <w:uiPriority w:val="39"/>
    <w:rsid w:val="006C0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cap="none">
                <a:latin typeface="Times New Roman" panose="02020603050405020304" pitchFamily="18" charset="0"/>
                <a:cs typeface="Times New Roman" panose="02020603050405020304" pitchFamily="18" charset="0"/>
              </a:rPr>
              <a:t>Hasil Wawancara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Hasil Wawancara Hambatan dalam Pembentukan Sikap Keagaamaan pada Remaja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212-4063-BBB2-EBC7F073CDE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212-4063-BBB2-EBC7F073CDE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212-4063-BBB2-EBC7F073CDE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212-4063-BBB2-EBC7F073CDE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3"/>
                <c:pt idx="0">
                  <c:v>Remaja</c:v>
                </c:pt>
                <c:pt idx="1">
                  <c:v>Orang Tua</c:v>
                </c:pt>
                <c:pt idx="2">
                  <c:v>Guru 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0.6</c:v>
                </c:pt>
                <c:pt idx="1">
                  <c:v>0.2</c:v>
                </c:pt>
                <c:pt idx="2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E8-437F-99DC-304DBC1BD85F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/>
              <a:t>Remaja</a:t>
            </a:r>
          </a:p>
        </c:rich>
      </c:tx>
      <c:layout>
        <c:manualLayout>
          <c:xMode val="edge"/>
          <c:yMode val="edge"/>
          <c:x val="0.42543662840337731"/>
          <c:y val="4.179728317659352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Sheet3!$B$1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8FD9-4009-B2F2-3138224A855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8FD9-4009-B2F2-3138224A855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8FD9-4009-B2F2-3138224A855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8FD9-4009-B2F2-3138224A855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8FD9-4009-B2F2-3138224A855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8FD9-4009-B2F2-3138224A855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8FD9-4009-B2F2-3138224A855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8FD9-4009-B2F2-3138224A855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8FD9-4009-B2F2-3138224A855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Sheet3!$A$2:$A$10</c:f>
              <c:strCache>
                <c:ptCount val="9"/>
                <c:pt idx="0">
                  <c:v>Kurang Paham Agama </c:v>
                </c:pt>
                <c:pt idx="1">
                  <c:v>Pengaruh Negatif Teman Sebaya</c:v>
                </c:pt>
                <c:pt idx="2">
                  <c:v>Pengaruh Media dan Hiburan</c:v>
                </c:pt>
                <c:pt idx="3">
                  <c:v>Tuntutan Prestasi dan Ekskul Sekolah</c:v>
                </c:pt>
                <c:pt idx="4">
                  <c:v>Konflik Keluarga</c:v>
                </c:pt>
                <c:pt idx="5">
                  <c:v>Pengaruh Teknologi dan Gadget</c:v>
                </c:pt>
                <c:pt idx="6">
                  <c:v>Cemas Terhadap Masa Depan </c:v>
                </c:pt>
                <c:pt idx="7">
                  <c:v>Trauma atau Kecewa dengan Agama</c:v>
                </c:pt>
                <c:pt idx="8">
                  <c:v>Pengaruh Negatif dari Figur Terkenal</c:v>
                </c:pt>
              </c:strCache>
            </c:strRef>
          </c:cat>
          <c:val>
            <c:numRef>
              <c:f>Sheet3!$B$2:$B$10</c:f>
              <c:numCache>
                <c:formatCode>General</c:formatCode>
                <c:ptCount val="9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3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8FD9-4009-B2F2-3138224A855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Orang Tua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ADE-4846-B8AD-DEF47706477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ADE-4846-B8AD-DEF47706477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CADE-4846-B8AD-DEF477064774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Sheet4!$A$1:$A$3</c:f>
              <c:strCache>
                <c:ptCount val="3"/>
                <c:pt idx="0">
                  <c:v>Kurangnya Pendidikan Agama</c:v>
                </c:pt>
                <c:pt idx="1">
                  <c:v>Khawatir dengan Pengaruh Teman</c:v>
                </c:pt>
                <c:pt idx="2">
                  <c:v>Perubahan Lingkungan Sekitar</c:v>
                </c:pt>
              </c:strCache>
            </c:strRef>
          </c:cat>
          <c:val>
            <c:numRef>
              <c:f>Sheet4!$B$1:$B$3</c:f>
              <c:numCache>
                <c:formatCode>General</c:formatCode>
                <c:ptCount val="3"/>
                <c:pt idx="0">
                  <c:v>2</c:v>
                </c:pt>
                <c:pt idx="1">
                  <c:v>4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ADE-4846-B8AD-DEF47706477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Guru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5157-41E2-9B71-EA71A0BCE7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5157-41E2-9B71-EA71A0BCE7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5157-41E2-9B71-EA71A0BCE7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5157-41E2-9B71-EA71A0BCE72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3"/>
                <c:pt idx="0">
                  <c:v>Keterbatasan Pengetahuan Agama</c:v>
                </c:pt>
                <c:pt idx="1">
                  <c:v>Peran Media Sosial Membentuk Prespektif Keagamaan</c:v>
                </c:pt>
                <c:pt idx="2">
                  <c:v>Pengaruh Lingkungan Negatif Teman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75-4F53-8D5A-D2AAFAE5B86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8594F-F1AA-41D3-A3A7-5EE7CB8C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Hakuryuu</dc:creator>
  <cp:keywords/>
  <dc:description/>
  <cp:lastModifiedBy>ASUS INDONESIA</cp:lastModifiedBy>
  <cp:revision>3</cp:revision>
  <dcterms:created xsi:type="dcterms:W3CDTF">2024-01-29T14:48:00Z</dcterms:created>
  <dcterms:modified xsi:type="dcterms:W3CDTF">2024-01-30T10:45:00Z</dcterms:modified>
</cp:coreProperties>
</file>