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4A0" w:firstRow="1" w:lastRow="0" w:firstColumn="1" w:lastColumn="0" w:noHBand="0" w:noVBand="1"/>
      </w:tblPr>
      <w:tblGrid>
        <w:gridCol w:w="2127"/>
        <w:gridCol w:w="6945"/>
      </w:tblGrid>
      <w:tr w:rsidR="008F3710" w:rsidTr="00D3076D">
        <w:trPr>
          <w:trHeight w:val="2594"/>
        </w:trPr>
        <w:tc>
          <w:tcPr>
            <w:tcW w:w="9072" w:type="dxa"/>
            <w:gridSpan w:val="2"/>
            <w:tcBorders>
              <w:bottom w:val="single" w:sz="4" w:space="0" w:color="auto"/>
            </w:tcBorders>
          </w:tcPr>
          <w:p w:rsidR="008F3710" w:rsidRPr="0075762C" w:rsidRDefault="0075762C" w:rsidP="0075762C">
            <w:pPr>
              <w:jc w:val="both"/>
              <w:rPr>
                <w:b/>
                <w:lang w:val="en-US"/>
              </w:rPr>
            </w:pPr>
            <w:r>
              <w:rPr>
                <w:b/>
                <w:sz w:val="28"/>
              </w:rPr>
              <w:t xml:space="preserve">The Influence of </w:t>
            </w:r>
            <w:r w:rsidRPr="003843CD">
              <w:rPr>
                <w:b/>
                <w:sz w:val="28"/>
              </w:rPr>
              <w:t>Self</w:t>
            </w:r>
            <w:r>
              <w:rPr>
                <w:b/>
                <w:sz w:val="28"/>
              </w:rPr>
              <w:t>-Regulated Learning and Academic Bouyancy on School Adjustment of Students a</w:t>
            </w:r>
            <w:r w:rsidRPr="003843CD">
              <w:rPr>
                <w:b/>
                <w:sz w:val="28"/>
              </w:rPr>
              <w:t>t The An-Nur Islamic Boarding School</w:t>
            </w:r>
            <w:r>
              <w:rPr>
                <w:b/>
                <w:sz w:val="28"/>
                <w:lang w:val="en-US"/>
              </w:rPr>
              <w:t xml:space="preserve">  Tanggulangin</w:t>
            </w:r>
          </w:p>
          <w:p w:rsidR="008F3710" w:rsidRDefault="008F3710" w:rsidP="008F3710">
            <w:pPr>
              <w:jc w:val="both"/>
              <w:rPr>
                <w:b/>
                <w:lang w:val="en-US"/>
              </w:rPr>
            </w:pPr>
          </w:p>
          <w:p w:rsidR="0075762C" w:rsidRDefault="0075762C" w:rsidP="00BC1C24">
            <w:pPr>
              <w:ind w:hanging="2"/>
              <w:rPr>
                <w:rStyle w:val="AuthorarticleChar"/>
                <w:rFonts w:ascii="Times New Roman" w:hAnsi="Times New Roman"/>
                <w:b/>
                <w:sz w:val="20"/>
                <w:szCs w:val="20"/>
                <w:vertAlign w:val="superscript"/>
              </w:rPr>
            </w:pPr>
            <w:r w:rsidRPr="0075762C">
              <w:rPr>
                <w:rStyle w:val="AuthorarticleChar"/>
                <w:rFonts w:ascii="Times New Roman" w:hAnsi="Times New Roman"/>
                <w:b/>
                <w:sz w:val="20"/>
                <w:szCs w:val="20"/>
              </w:rPr>
              <w:t>Faridatul Amailiyah</w:t>
            </w:r>
            <w:r w:rsidRPr="0075762C">
              <w:rPr>
                <w:rStyle w:val="AuthorarticleChar"/>
                <w:rFonts w:ascii="Times New Roman" w:hAnsi="Times New Roman"/>
                <w:b/>
                <w:sz w:val="20"/>
                <w:szCs w:val="20"/>
                <w:vertAlign w:val="superscript"/>
              </w:rPr>
              <w:t>1</w:t>
            </w:r>
            <w:r w:rsidRPr="0075762C">
              <w:rPr>
                <w:rStyle w:val="AuthorarticleChar"/>
                <w:rFonts w:ascii="Times New Roman" w:hAnsi="Times New Roman"/>
                <w:b/>
                <w:sz w:val="20"/>
                <w:szCs w:val="20"/>
              </w:rPr>
              <w:t>, Ghozali Rusyid Affandi</w:t>
            </w:r>
            <w:r w:rsidRPr="0075762C">
              <w:rPr>
                <w:rStyle w:val="AuthorarticleChar"/>
                <w:rFonts w:ascii="Times New Roman" w:hAnsi="Times New Roman"/>
                <w:b/>
                <w:sz w:val="20"/>
                <w:szCs w:val="20"/>
                <w:vertAlign w:val="superscript"/>
              </w:rPr>
              <w:t>2</w:t>
            </w:r>
          </w:p>
          <w:p w:rsidR="00BC1C24" w:rsidRPr="0075762C" w:rsidRDefault="00BC1C24" w:rsidP="00BC1C24">
            <w:pPr>
              <w:ind w:hanging="2"/>
              <w:rPr>
                <w:b/>
                <w:sz w:val="20"/>
                <w:szCs w:val="20"/>
              </w:rPr>
            </w:pPr>
          </w:p>
          <w:p w:rsidR="0075762C" w:rsidRPr="0075762C" w:rsidRDefault="00BC1C24" w:rsidP="00BC1C24">
            <w:pPr>
              <w:ind w:hanging="2"/>
              <w:rPr>
                <w:sz w:val="20"/>
              </w:rPr>
            </w:pPr>
            <w:r w:rsidRPr="0075762C">
              <w:rPr>
                <w:rStyle w:val="AuthorarticleChar"/>
                <w:rFonts w:ascii="Times New Roman" w:hAnsi="Times New Roman"/>
                <w:b/>
                <w:sz w:val="20"/>
                <w:szCs w:val="20"/>
                <w:vertAlign w:val="superscript"/>
              </w:rPr>
              <w:t>1</w:t>
            </w:r>
            <w:r w:rsidR="0075762C" w:rsidRPr="0075762C">
              <w:rPr>
                <w:sz w:val="20"/>
              </w:rPr>
              <w:t>Fakultas Psikologi dan Ilmu Pendidikan, Un</w:t>
            </w:r>
            <w:r>
              <w:rPr>
                <w:sz w:val="20"/>
              </w:rPr>
              <w:t>iversitas Muhammadiyah Sidoarjo</w:t>
            </w:r>
            <w:r w:rsidR="0075762C" w:rsidRPr="0075762C">
              <w:rPr>
                <w:sz w:val="20"/>
              </w:rPr>
              <w:t xml:space="preserve"> </w:t>
            </w:r>
          </w:p>
          <w:p w:rsidR="0075762C" w:rsidRPr="0075762C" w:rsidRDefault="00BC1C24" w:rsidP="00BC1C24">
            <w:pPr>
              <w:ind w:hanging="2"/>
            </w:pPr>
            <w:r w:rsidRPr="0075762C">
              <w:rPr>
                <w:rStyle w:val="AuthorarticleChar"/>
                <w:rFonts w:ascii="Times New Roman" w:hAnsi="Times New Roman"/>
                <w:b/>
                <w:sz w:val="20"/>
                <w:szCs w:val="20"/>
                <w:vertAlign w:val="superscript"/>
              </w:rPr>
              <w:t>21</w:t>
            </w:r>
            <w:r w:rsidRPr="0075762C">
              <w:rPr>
                <w:sz w:val="20"/>
              </w:rPr>
              <w:t>Fakultas Psikologi dan Ilmu Pendidikan, Un</w:t>
            </w:r>
            <w:r>
              <w:rPr>
                <w:sz w:val="20"/>
              </w:rPr>
              <w:t>iversitas Muhammadiyah Sidoarjo</w:t>
            </w:r>
          </w:p>
          <w:p w:rsidR="008F3710" w:rsidRPr="000B1A3D" w:rsidRDefault="008F3710" w:rsidP="00BC1C24">
            <w:pPr>
              <w:outlineLvl w:val="0"/>
              <w:rPr>
                <w:sz w:val="22"/>
                <w:szCs w:val="22"/>
                <w:lang w:val="en-US"/>
              </w:rPr>
            </w:pPr>
          </w:p>
          <w:p w:rsidR="008F3710" w:rsidRPr="006C0C45" w:rsidRDefault="008F3710" w:rsidP="008F3710">
            <w:pPr>
              <w:jc w:val="both"/>
              <w:outlineLvl w:val="0"/>
              <w:rPr>
                <w:color w:val="FF0000"/>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hyperlink r:id="rId8" w:history="1">
              <w:r w:rsidR="006C0C45" w:rsidRPr="00844406">
                <w:rPr>
                  <w:rStyle w:val="Hyperlink"/>
                  <w:rFonts w:eastAsia="Times New Roman"/>
                  <w:sz w:val="20"/>
                  <w:lang w:val="en-US"/>
                </w:rPr>
                <w:t>ghozali@umsida.ac.id</w:t>
              </w:r>
            </w:hyperlink>
            <w:r w:rsidR="006C0C45">
              <w:rPr>
                <w:rFonts w:eastAsia="Times New Roman"/>
                <w:color w:val="000000"/>
                <w:sz w:val="20"/>
                <w:lang w:val="en-US"/>
              </w:rPr>
              <w:t xml:space="preserve"> - 085655506994</w:t>
            </w:r>
          </w:p>
          <w:p w:rsidR="00D3076D" w:rsidRDefault="00D3076D" w:rsidP="008F3710">
            <w:pPr>
              <w:jc w:val="both"/>
              <w:outlineLvl w:val="0"/>
              <w:rPr>
                <w:b/>
                <w:lang w:val="en-US"/>
              </w:rPr>
            </w:pPr>
          </w:p>
        </w:tc>
      </w:tr>
      <w:tr w:rsidR="000B1A3D"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rsidR="000B1A3D" w:rsidRPr="006627E4" w:rsidRDefault="000B1A3D" w:rsidP="00D3076D">
            <w:pPr>
              <w:jc w:val="both"/>
              <w:rPr>
                <w:color w:val="000000" w:themeColor="text1"/>
                <w:sz w:val="20"/>
                <w:szCs w:val="20"/>
                <w:lang w:val="en-US"/>
              </w:rPr>
            </w:pPr>
          </w:p>
          <w:p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rsidR="006627E4" w:rsidRDefault="005366E7" w:rsidP="00D3076D">
            <w:pPr>
              <w:pStyle w:val="ListParagraph"/>
              <w:numPr>
                <w:ilvl w:val="0"/>
                <w:numId w:val="2"/>
              </w:numPr>
              <w:ind w:left="142" w:hanging="142"/>
              <w:jc w:val="both"/>
              <w:rPr>
                <w:color w:val="000000" w:themeColor="text1"/>
                <w:sz w:val="20"/>
                <w:szCs w:val="20"/>
                <w:lang w:val="en-US"/>
              </w:rPr>
            </w:pPr>
            <w:hyperlink r:id="rId9"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rsidR="00D3076D" w:rsidRDefault="00D3076D" w:rsidP="00D3076D">
            <w:pPr>
              <w:jc w:val="both"/>
              <w:rPr>
                <w:color w:val="000000" w:themeColor="text1"/>
                <w:sz w:val="20"/>
                <w:szCs w:val="20"/>
                <w:lang w:val="en-US"/>
              </w:rPr>
            </w:pPr>
          </w:p>
          <w:p w:rsidR="00D3076D" w:rsidRDefault="00D3076D" w:rsidP="00D3076D">
            <w:pPr>
              <w:jc w:val="both"/>
              <w:rPr>
                <w:color w:val="000000" w:themeColor="text1"/>
                <w:sz w:val="20"/>
                <w:szCs w:val="20"/>
                <w:lang w:val="en-US"/>
              </w:rPr>
            </w:pPr>
            <w:r>
              <w:rPr>
                <w:lang w:val="en-US" w:eastAsia="en-US"/>
              </w:rPr>
              <w:drawing>
                <wp:inline distT="0" distB="0" distL="0" distR="0" wp14:anchorId="557D057B" wp14:editId="38482609">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1"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rsidR="000B1A3D" w:rsidRPr="000B1A3D" w:rsidRDefault="006627E4" w:rsidP="008F3710">
            <w:pPr>
              <w:jc w:val="both"/>
              <w:outlineLvl w:val="0"/>
              <w:rPr>
                <w:i/>
                <w:sz w:val="22"/>
                <w:szCs w:val="20"/>
                <w:lang w:val="en-US"/>
              </w:rPr>
            </w:pPr>
            <w:r>
              <w:rPr>
                <w:b/>
                <w:i/>
                <w:sz w:val="22"/>
                <w:szCs w:val="20"/>
                <w:lang w:val="en-US"/>
              </w:rPr>
              <w:t>A</w:t>
            </w:r>
            <w:r w:rsidR="00D3076D">
              <w:rPr>
                <w:b/>
                <w:i/>
                <w:sz w:val="22"/>
                <w:szCs w:val="20"/>
                <w:lang w:val="en-US"/>
              </w:rPr>
              <w:t>bstract</w:t>
            </w:r>
            <w:r w:rsidR="00BC1C24">
              <w:rPr>
                <w:b/>
                <w:i/>
                <w:sz w:val="22"/>
                <w:szCs w:val="20"/>
                <w:lang w:val="en-US"/>
              </w:rPr>
              <w:t xml:space="preserve"> :</w:t>
            </w:r>
            <w:r w:rsidR="00BC1C24">
              <w:rPr>
                <w:i/>
                <w:sz w:val="22"/>
                <w:szCs w:val="20"/>
                <w:lang w:val="en-US"/>
              </w:rPr>
              <w:t xml:space="preserve"> </w:t>
            </w:r>
            <w:r w:rsidR="00BC1C24" w:rsidRPr="00BC1C24">
              <w:rPr>
                <w:i/>
                <w:sz w:val="22"/>
                <w:szCs w:val="22"/>
              </w:rPr>
              <w:t>School adjustment is a phenomenon that is often found in schools with a boarding school basis. It is assumed that the factor that influences students' school adjustment is self-regulated learning and another factor is their academic buoyancy. The purpose of this study was to determine the effect of self-regulated learning and academic buoyancy on school adjustment among students at the An-nur Islamic boarding school. The participants in this study were all students at the An-Nur Islamic boarding school, totaling 195 students. The data collection technique uses 3 psychological scales, namely academic buoyancy with a value of (α) = 0.523, self-regulated learning with a value of (α) = 0.815 and school adjustment with a value of (α) = 0.918 The data analysis technique uses multiple linear regression analysis techniques with the help of SPSS26.0 for windows. The results of the study show that self-regulated learning and academic buoyancy positively influence school adjustment for students at the An-nur Islamic boarding school. the influence exerted by academic bouyancy and self-regulated learning on school adjustment is only 39%, while 61% of other factors are not found in this study.</w:t>
            </w:r>
          </w:p>
          <w:p w:rsidR="000B1A3D" w:rsidRPr="000B1A3D" w:rsidRDefault="000B1A3D" w:rsidP="008F3710">
            <w:pPr>
              <w:jc w:val="both"/>
              <w:rPr>
                <w:rFonts w:eastAsia="Times New Roman"/>
                <w:b/>
                <w:bCs/>
                <w:i/>
                <w:sz w:val="22"/>
                <w:szCs w:val="20"/>
                <w:lang w:val="en-US" w:eastAsia="id-ID"/>
              </w:rPr>
            </w:pPr>
          </w:p>
          <w:p w:rsidR="000B1A3D" w:rsidRPr="00BC1C24"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BC1C24">
              <w:rPr>
                <w:rFonts w:eastAsia="Candara"/>
                <w:i/>
                <w:color w:val="000000"/>
                <w:sz w:val="20"/>
                <w:szCs w:val="20"/>
              </w:rPr>
              <w:t>Academic Buoyancy</w:t>
            </w:r>
            <w:r w:rsidR="00BC1C24">
              <w:rPr>
                <w:rFonts w:eastAsia="Candara"/>
                <w:i/>
                <w:color w:val="000000"/>
                <w:sz w:val="20"/>
                <w:szCs w:val="20"/>
                <w:lang w:val="en-US"/>
              </w:rPr>
              <w:t>;</w:t>
            </w:r>
            <w:r w:rsidR="00BC1C24" w:rsidRPr="00191921">
              <w:rPr>
                <w:rFonts w:eastAsia="Candara"/>
                <w:i/>
                <w:color w:val="000000"/>
                <w:sz w:val="20"/>
                <w:szCs w:val="20"/>
              </w:rPr>
              <w:t xml:space="preserve"> Self-Regulated </w:t>
            </w:r>
            <w:r w:rsidR="00BC1C24">
              <w:rPr>
                <w:rFonts w:eastAsia="Candara"/>
                <w:i/>
                <w:color w:val="000000"/>
                <w:sz w:val="20"/>
                <w:szCs w:val="20"/>
              </w:rPr>
              <w:t>Learning; School Adjustment;</w:t>
            </w:r>
            <w:r w:rsidR="00BC1C24" w:rsidRPr="00191921">
              <w:rPr>
                <w:rFonts w:eastAsia="Candara"/>
                <w:i/>
                <w:color w:val="000000"/>
                <w:sz w:val="20"/>
                <w:szCs w:val="20"/>
              </w:rPr>
              <w:t xml:space="preserve"> Student</w:t>
            </w:r>
            <w:r w:rsidR="00BC1C24">
              <w:rPr>
                <w:rFonts w:eastAsia="Candara"/>
                <w:i/>
                <w:color w:val="000000"/>
                <w:sz w:val="20"/>
                <w:szCs w:val="20"/>
                <w:lang w:val="en-US"/>
              </w:rPr>
              <w:t>.</w:t>
            </w:r>
          </w:p>
          <w:p w:rsidR="000B1A3D" w:rsidRDefault="000B1A3D" w:rsidP="008F3710">
            <w:pPr>
              <w:jc w:val="both"/>
              <w:rPr>
                <w:b/>
                <w:lang w:val="en-US"/>
              </w:rPr>
            </w:pPr>
          </w:p>
        </w:tc>
      </w:tr>
    </w:tbl>
    <w:p w:rsidR="000B1A3D" w:rsidRDefault="000B1A3D" w:rsidP="000B1A3D">
      <w:pPr>
        <w:rPr>
          <w:b/>
          <w:lang w:val="en-US"/>
        </w:rPr>
      </w:pPr>
    </w:p>
    <w:p w:rsidR="000B1A3D" w:rsidRDefault="000B1A3D"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sectPr w:rsidR="004E493E" w:rsidSect="000B1A3D">
          <w:headerReference w:type="default" r:id="rId12"/>
          <w:footerReference w:type="default" r:id="rId13"/>
          <w:pgSz w:w="11907" w:h="16839" w:code="9"/>
          <w:pgMar w:top="1440" w:right="1440" w:bottom="1440" w:left="1440" w:header="720" w:footer="720" w:gutter="0"/>
          <w:cols w:space="720"/>
          <w:docGrid w:linePitch="360"/>
        </w:sectPr>
      </w:pPr>
    </w:p>
    <w:p w:rsidR="004E493E" w:rsidRDefault="004E493E" w:rsidP="00D3076D">
      <w:pPr>
        <w:jc w:val="both"/>
        <w:rPr>
          <w:b/>
          <w:lang w:val="en-US"/>
        </w:rPr>
      </w:pPr>
    </w:p>
    <w:p w:rsidR="0037095C" w:rsidRPr="004D7911" w:rsidRDefault="0037095C" w:rsidP="00BC1C24">
      <w:pPr>
        <w:jc w:val="both"/>
        <w:rPr>
          <w:b/>
        </w:rPr>
      </w:pPr>
      <w:r w:rsidRPr="004D7911">
        <w:rPr>
          <w:b/>
        </w:rPr>
        <w:t xml:space="preserve">PENDAHULUAN </w:t>
      </w:r>
    </w:p>
    <w:p w:rsidR="00BC1C24" w:rsidRPr="004D4BFF" w:rsidRDefault="00BC1C24" w:rsidP="00BC1C24">
      <w:pPr>
        <w:ind w:left="-2" w:firstLineChars="236" w:firstLine="566"/>
        <w:jc w:val="both"/>
        <w:rPr>
          <w:lang w:val="en-US"/>
        </w:rPr>
      </w:pPr>
      <w:r w:rsidRPr="00550B85">
        <w:t>Santri adalah sebutan bagi seseorang yang mengikuti pendidikan Ilmu Agama Islam di suatu tempat yang dinamakan pesantren</w:t>
      </w:r>
      <w:r w:rsidR="004D4BFF">
        <w:rPr>
          <w:lang w:val="en-US"/>
        </w:rPr>
        <w:t xml:space="preserve"> </w:t>
      </w:r>
      <w:r w:rsidR="004D4BFF">
        <w:fldChar w:fldCharType="begin" w:fldLock="1"/>
      </w:r>
      <w:r w:rsidR="00F8707E">
        <w:instrText>ADDIN CSL_CITATION {"citationItems":[{"id":"ITEM-1","itemData":{"abstract":"Pesantren adalah sebuah pendidikan tradisional yang para siswa tinggal bersama dan belajar dibawah bimbingan guru yang lebih dikenal dengan istilah kiai dan mempunyai asrama untuk tempat menginap santri. Suasana dan peraturan Pesantren yang jauh berbeda dengan lingkungan rumah para santri menuntut mereka untuk mampu menyesuaikan diri, terlebih lagi untuk para santri baru. Penyesuaian diri adalah suatu proses dinamis yang bertujuan untuk mengubah perilaku individu agar terjadi kesesuaian antara perilaku dan lingkungannya. Penelitian ini merupakan penelitian kuantitatif deskriptif yang bertujuan untuk menggambarkan kemampuan penyesuaian diri pada Santri baru Pondok pesantren Uswatun hasanah. Subjek yang digunakan merupakan Para santri baru Pondok Pesantren Uswatun Hasanah tahun ajaran 2018/2019 yang berjumlah 150 orang. Pengambilan data dilakukan dengan menyebarkan skala penyesuaian diri yang disusun berdasarkan karakteristik dan faktor penyesuaian diri (Schneiders, 1964). Hasil analisa data menunjukkan bahwa kemampuan penyesuaian diri pada Santri Baru pondok pesantren Uswatun Hasanah berada pada kategori Tinggi, hal ini membuktikan bahwa lingkungan, budaya, pengalaman santri dan strategi guru dalam mendidik menjadi sangat penting bagi penyesuaian diri para santri baru.","author":[{"dropping-particle":"","family":"Mustakim","given":"Imam","non-dropping-particle":"","parse-names":false,"suffix":""}],"id":"ITEM-1","issued":{"date-parts":[["2019"]]},"page":"4-16","title":"Gambaran penyesuaian diri pada santri baru pondok pesantren uswatun hasanah","type":"chapter"},"uris":["http://www.mendeley.com/documents/?uuid=60d3b0f6-fbb5-4769-a3d9-6cf8d9fac43b"]}],"mendeley":{"formattedCitation":"(Mustakim, 2019)","plainTextFormattedCitation":"(Mustakim, 2019)","previouslyFormattedCitation":"[1]"},"properties":{"noteIndex":0},"schema":"https://github.com/citation-style-language/schema/raw/master/csl-citation.json"}</w:instrText>
      </w:r>
      <w:r w:rsidR="004D4BFF">
        <w:fldChar w:fldCharType="separate"/>
      </w:r>
      <w:r w:rsidR="00F8707E" w:rsidRPr="00F8707E">
        <w:t>(Mustakim, 2019)</w:t>
      </w:r>
      <w:r w:rsidR="004D4BFF">
        <w:fldChar w:fldCharType="end"/>
      </w:r>
      <w:r w:rsidRPr="00550B85">
        <w:t xml:space="preserve">. Menurut kamus bahasa Indonesia, kata santri mempunyai 2 pengertian yaitu; 1) Orang yang beribadah dengan sungguh-sungguh: orang saleh, 2) Orang yang mendalami pengajiannya dalam agama islam dengan berguru ketempat yang jauh </w:t>
      </w:r>
      <w:r w:rsidR="004D4BFF">
        <w:fldChar w:fldCharType="begin" w:fldLock="1"/>
      </w:r>
      <w:r w:rsidR="00F8707E">
        <w:instrText>ADDIN CSL_CITATION {"citationItems":[{"id":"ITEM-1","itemData":{"ISBN":"1670131009","abstract":"Conclusion: Human thinking is characterized by development since the establishment of societies, and is growing every day, and this requires work on the development of thinking skills necessary for individuals to be able to solve the problems of current and future, a socially acceptable manner. The century this may be a century of human intelligence, and excellence will be a community that works on the development of thinking of its members. We live in an age characterized by the wealth of scientific and modern technology, and this requires multiple methods of thinking to confront them and try to overcome them. Our vehicle for this is science, science and knowledge are power have become the new world. The building and personal growth of normal primary objectives of the educational process, and each individual's unique and distinctive character which is different from the other individuals. So the current is determined by the importance of research, known ways of thinking's favorite (Sternberg), the extension educators and its relationship to pattern their characters. Target current research to answer the following questions: 1- What ways of thinking favored by Educational counselors in light of the theory (Asternberg) to ways of thinking. 2- Is there a statistically significant correlation between ways of thinking in the light of the theory (Asternberg), Educational counselors in the pattern of their personality (extraversion - introversion), and (neuroticism - stability). To achieve the objectives of the research, the researcher tools are: a list of ways of thinking for (Sternberg) short list, a list (Eisenk) to personal style, and After finding the psychometrical properties for the criterion as, a sample (100) counselors has been tested chosen randomly out of the whole group of counselors (143) who work in secondary and intermediate schools in the General Directorate of Education in Kirkuk. After processing the data concisely using the (t-test, on sample and two samples, the person factor device ). The study comes up with the following conclusion: 1- The most favored ways of thinking among members of the sample are ways of thinking (hierarchical, liberal, estoppel, PLC). 2- there was no statistically significant relationships between overlapping ways of thinking according to the theory (Sternberg), and personal style according to the theory (Eisenk), for members of the research sample, except in the two methods are the only two methods (local and Roya…","author":[{"dropping-particle":"","family":"Fadhlullah","given":"","non-dropping-particle":"","parse-names":false,"suffix":""}],"id":"ITEM-1","issued":{"date-parts":[["2018"]]},"number-of-pages":"1-25","title":"Peran pondok pesantren bumi karomah al-qodariyyah dalam pembinaan kader da'idi kecamatan waykhilau kabupaten pesawaran","type":"book","volume":"7"},"uris":["http://www.mendeley.com/documents/?uuid=465c199c-f75f-4537-b137-bfdbd4ce7001"]}],"mendeley":{"formattedCitation":"(Fadhlullah, 2018)","plainTextFormattedCitation":"(Fadhlullah, 2018)","previouslyFormattedCitation":"[2]"},"properties":{"noteIndex":0},"schema":"https://github.com/citation-style-language/schema/raw/master/csl-citation.json"}</w:instrText>
      </w:r>
      <w:r w:rsidR="004D4BFF">
        <w:fldChar w:fldCharType="separate"/>
      </w:r>
      <w:r w:rsidR="00F8707E" w:rsidRPr="00F8707E">
        <w:t>(Fadhlullah, 2018)</w:t>
      </w:r>
      <w:r w:rsidR="004D4BFF">
        <w:fldChar w:fldCharType="end"/>
      </w:r>
      <w:r w:rsidRPr="00550B85">
        <w:t xml:space="preserve">. Pesantren atau sekolah ber-asrama merupakan lembaga pendidikan yang bertujuan agar siswa di lingkungan sekolah memiliki waktu belajar yang lebih panjang, lebih fokus dan mandiri, sehingga memungkinkan siswa lebih siap menghadapi berbagai tantangan serta memiliki kesempatan belajar yang lebih baik dan didukung dengan baik oleh guru dan teman sebayanya </w:t>
      </w:r>
      <w:r w:rsidR="004D4BFF">
        <w:fldChar w:fldCharType="begin" w:fldLock="1"/>
      </w:r>
      <w:r w:rsidR="00F8707E">
        <w:instrText>ADDIN CSL_CITATION {"citationItems":[{"id":"ITEM-1","itemData":{"DOI":"10.1177/0829573516630303","ISSN":"21543984","abstract":"Social development may vary depending on contextual factors, such as attending a day school or a boarding school. The present study compares students from these school types with regard to the achievement of specific social goals, perceived social support, and reported prosocial behaviour. A sample of 701 students was examined. Students from boarding schools reported higher success in gaining autonomy from parents and forming romantic relationships than students from day schools. However, adolescents from day schools reported higher levels of peer-group integration than students from boarding schools. Compared with students from day schools, students from boarding schools perceived more support from their teachers, but less support from their parents. No difference in prosocial behaviour was found between the two groups. We conclude that some students from boarding schools need support in gaining access to a peer group. In addition, measures are suggested for promoting parental support of students from boarding schools.","author":[{"dropping-particle":"","family":"Pfeiffer","given":"Jens P.","non-dropping-particle":"","parse-names":false,"suffix":""},{"dropping-particle":"","family":"Pinquart","given":"Martin","non-dropping-particle":"","parse-names":false,"suffix":""},{"dropping-particle":"","family":"Krick","given":"Kathrin","non-dropping-particle":"","parse-names":false,"suffix":""}],"container-title":"Canadian Journal of School Psychology","id":"ITEM-1","issue":"4","issued":{"date-parts":[["2016"]]},"page":"279-289","title":"Social Relationships, Prosocial Behaviour, and Perceived Social Support in Students From Boarding Schools","type":"article-journal","volume":"31"},"uris":["http://www.mendeley.com/documents/?uuid=0ff41486-1aaa-4c78-b19d-2639ced57799"]}],"mendeley":{"formattedCitation":"(Pfeiffer et al., 2016)","plainTextFormattedCitation":"(Pfeiffer et al., 2016)","previouslyFormattedCitation":"[3]"},"properties":{"noteIndex":0},"schema":"https://github.com/citation-style-language/schema/raw/master/csl-citation.json"}</w:instrText>
      </w:r>
      <w:r w:rsidR="004D4BFF">
        <w:fldChar w:fldCharType="separate"/>
      </w:r>
      <w:r w:rsidR="00F8707E" w:rsidRPr="00F8707E">
        <w:t>(Pfeiffer et al., 2016)</w:t>
      </w:r>
      <w:r w:rsidR="004D4BFF">
        <w:fldChar w:fldCharType="end"/>
      </w:r>
      <w:r w:rsidR="004D4BFF">
        <w:rPr>
          <w:lang w:val="en-US"/>
        </w:rPr>
        <w:t>.</w:t>
      </w:r>
    </w:p>
    <w:p w:rsidR="00BC1C24" w:rsidRPr="00550B85" w:rsidRDefault="00BC1C24" w:rsidP="00BC1C24">
      <w:pPr>
        <w:ind w:left="-2" w:firstLineChars="236" w:firstLine="566"/>
        <w:jc w:val="both"/>
      </w:pPr>
      <w:r w:rsidRPr="00550B85">
        <w:t>Kehidupan di pesantren sangat berbeda dengan kehidupan sekolah pada umumnya, sehingga santri harus mampu beradaptasi dengan baik untuk bertahan dan menyelesaikan pendidikannya</w:t>
      </w:r>
      <w:r w:rsidR="004D4BFF">
        <w:rPr>
          <w:color w:val="000000"/>
          <w:lang w:val="en-US"/>
        </w:rPr>
        <w:t xml:space="preserve"> </w:t>
      </w:r>
      <w:r w:rsidR="004D4BFF">
        <w:rPr>
          <w:color w:val="000000"/>
          <w:lang w:val="en-US"/>
        </w:rPr>
        <w:fldChar w:fldCharType="begin" w:fldLock="1"/>
      </w:r>
      <w:r w:rsidR="00F8707E">
        <w:rPr>
          <w:color w:val="000000"/>
          <w:lang w:val="en-US"/>
        </w:rPr>
        <w:instrText>ADDIN CSL_CITATION {"citationItems":[{"id":"ITEM-1","itemData":{"DOI":"10.3102/0002831214532164.0","author":[{"dropping-particle":"","family":"Martin","given":"Andrew J","non-dropping-particle":"","parse-names":false,"suffix":""}],"id":"ITEM-1","issued":{"date-parts":[["2014"]]},"page":"1007-1049","title":"Boarding School, Academic Motivation and Engagement, and Psychological Well-Being: A Large-Scale Investigation","type":"article-journal"},"uris":["http://www.mendeley.com/documents/?uuid=0c909147-d35d-4a8d-97e6-44b06f6c01ed"]}],"mendeley":{"formattedCitation":"(Martin, 2014)","plainTextFormattedCitation":"(Martin, 2014)","previouslyFormattedCitation":"[4]"},"properties":{"noteIndex":0},"schema":"https://github.com/citation-style-language/schema/raw/master/csl-citation.json"}</w:instrText>
      </w:r>
      <w:r w:rsidR="004D4BFF">
        <w:rPr>
          <w:color w:val="000000"/>
          <w:lang w:val="en-US"/>
        </w:rPr>
        <w:fldChar w:fldCharType="separate"/>
      </w:r>
      <w:r w:rsidR="00F8707E" w:rsidRPr="00F8707E">
        <w:rPr>
          <w:color w:val="000000"/>
          <w:lang w:val="en-US"/>
        </w:rPr>
        <w:t>(Martin, 2014)</w:t>
      </w:r>
      <w:r w:rsidR="004D4BFF">
        <w:rPr>
          <w:color w:val="000000"/>
          <w:lang w:val="en-US"/>
        </w:rPr>
        <w:fldChar w:fldCharType="end"/>
      </w:r>
      <w:r w:rsidR="004D4BFF">
        <w:rPr>
          <w:color w:val="000000"/>
          <w:lang w:val="en-US"/>
        </w:rPr>
        <w:t xml:space="preserve">. </w:t>
      </w:r>
      <w:r w:rsidRPr="00550B85">
        <w:t>Santri dituntut untuk mengatasi perubahan dalam dirinya, dimana santri harus dapat mempelajari tindakan atau sikap baru untuk berubah sesuai dengan harapan lingkungan yang telah ditentukan dan menghadapi segala keadaan yang bertolak belakang dengan dirinya sehingga tercapai tujuan sekolah, hubungan dengan orang lain dan lingkungan sekitar</w:t>
      </w:r>
      <w:r w:rsidR="004D4BFF">
        <w:rPr>
          <w:lang w:val="en-US"/>
        </w:rPr>
        <w:t xml:space="preserve"> </w:t>
      </w:r>
      <w:r w:rsidR="004D4BFF">
        <w:fldChar w:fldCharType="begin" w:fldLock="1"/>
      </w:r>
      <w:r w:rsidR="00F8707E">
        <w:instrText>ADDIN CSL_CITATION {"citationItems":[{"id":"ITEM-1","itemData":{"DOI":"10.26740/jptt.v7n2.p116-122","ISSN":"2087-1708","abstract":"The purpose of this study was to determine: (1) the correlations between social support and addjustment, (2) between self-efficacy and addjustment, and (3) between social support and self-efficacy to adjustment among first year students of an Islamic Boarding School in Gresik, East Java, Indonesia. This study used quantitative approach with correlation method involving 90 first year students who were recruited using boring sampling. Three Likert model questionnaires of social support, self-efficacy, and self-adjustment were used to collect data. Data were analyzed using multiple regression analysis. The results show that: (1) social support has no significant correlation to self-adjustment which can be seen from its significance value (p) of 0,914 (p&gt;.,005); (2) self-efficacy has a significance correlation to self-adjustment which can be seen from its significance value of 0,000 (p&lt;0,005). The result shows that determination coefficient (R2) is 0,588 in the significant value of 0,000 (p&lt;0,005). It means that there is a significant relationship between social support and self-efficacy to self-adjustment. The contribution of both social support and self-efficacy factors to self-adjustment is 58%. Abstrak: Tujuan dari penelitian ini adalah untuk mengetahui: (1) hubungan antara dukungan sosial dengan penyesuaian diri (2) hubungan antara self-efficacy dengan penyesuaian diri (3) hubungan antara dukungan sosial dan self-efficacy dengan penyesuaian diri pada santri tingkat pertama di Pondok Pesantren Daruttaqwa Gresik. Metode yang digunakan dalam penelitian ini adalah metode penelitian kuantitatif. Teknik pengambilan sampel menggunakan teknik sampel jenuh dan diperoleh jumlah sampel sebanyak 90 santri. Pengumpulan data menggunakan kuesioner. Peneliti menggunakan tiga skala Likert, yaitu skala dukungan sosial, self-efficacy dan penyesuaian diri. Teknik analisis data menggunakan teknik regresi linier berganda. Hasil penelitian menunjukkan bahwa: (1) dukungan sosial tidak memiliki hubungan yang signifikan dengan penyesuaian diri, dapat dilihat dari signifikansi sebesar 0,914. (2) Self-efficacy memiliki hubungan yang signifikan dengan penyesuaian diri, dapat dilihat dari signifikansi sebesar 0,000. Hasil uji regresi menunjukkan bahwa nilai R2 adalah 0,588, artinya kontribusi variabel dukungan sosial dan self-efficacy terhadap penyesuaian diri sebesar 58%.","author":[{"dropping-particle":"","family":"Sa’idah","given":"Salwa.","non-dropping-particle":"","parse-names":false,"suffix":""}],"container-title":"Jurnal Psikologi Teori dan Terapan","id":"ITEM-1","issue":"2","issued":{"date-parts":[["2017"]]},"page":"116","title":"Dukungan sosial dan self-efficacy dengan penyesuaian diri pada santri tingkat pertama di pondok pesantren","type":"article-journal","volume":"7"},"uris":["http://www.mendeley.com/documents/?uuid=5cf1c196-5a18-48d6-8227-d146fa0c3efb"]}],"mendeley":{"formattedCitation":"(Sa’idah, 2017)","plainTextFormattedCitation":"(Sa’idah, 2017)","previouslyFormattedCitation":"[5]"},"properties":{"noteIndex":0},"schema":"https://github.com/citation-style-language/schema/raw/master/csl-citation.json"}</w:instrText>
      </w:r>
      <w:r w:rsidR="004D4BFF">
        <w:fldChar w:fldCharType="separate"/>
      </w:r>
      <w:r w:rsidR="00F8707E" w:rsidRPr="00F8707E">
        <w:t>(Sa’idah, 2017)</w:t>
      </w:r>
      <w:r w:rsidR="004D4BFF">
        <w:fldChar w:fldCharType="end"/>
      </w:r>
      <w:r w:rsidRPr="00550B85">
        <w:t xml:space="preserve">. </w:t>
      </w:r>
    </w:p>
    <w:p w:rsidR="00BC1C24" w:rsidRPr="00550B85" w:rsidRDefault="00BC1C24" w:rsidP="00BC1C24">
      <w:pPr>
        <w:ind w:left="-2" w:firstLineChars="236" w:firstLine="566"/>
        <w:jc w:val="both"/>
      </w:pPr>
      <w:r w:rsidRPr="00550B85">
        <w:t>Santri ditantang untuk menyesuaikan diri dimana tempat individu itu berdiri, dengan kata lain hal penting yang perlu di perhatikan oleh setiap santri adalah penyesuaian dirinya dalam menjalani aktivitas di sekolah selama</w:t>
      </w:r>
      <w:r w:rsidR="004D4BFF">
        <w:t xml:space="preserve"> proses pembelajaran berlangsun</w:t>
      </w:r>
      <w:r w:rsidR="004D4BFF">
        <w:rPr>
          <w:lang w:val="en-US"/>
        </w:rPr>
        <w:t xml:space="preserve">g </w:t>
      </w:r>
      <w:r w:rsidR="004D4BFF">
        <w:rPr>
          <w:lang w:val="en-US"/>
        </w:rPr>
        <w:fldChar w:fldCharType="begin" w:fldLock="1"/>
      </w:r>
      <w:r w:rsidR="00F8707E">
        <w:rPr>
          <w:lang w:val="en-US"/>
        </w:rPr>
        <w:instrText>ADDIN CSL_CITATION {"citationItems":[{"id":"ITEM-1","itemData":{"DOI":"10.1016/j.sbspro.2013.12.784","ISSN":"18770428","abstract":"This study examined the effect of meaning in life to adjustment of Korean high school students and mediation effects of problem-focused coping and self-acceptance. A sample of 200 female high school students completed survey including measures of meaning in life, problem-focused coping, self-acceptance, and school adjustment. There were significant correlations among all the variables of interest in this study. Since the mediating effect of problem-focused coping was significant, while the effect of self-acceptance was not. This suggests that abstract and internal style of coping such as self-acceptance is not effective to solve problems, but a direct behavioral strategy such as problem-focused coping is efficacious.","author":[{"dropping-particle":"","family":"Cho","given":"Eun-hye","non-dropping-particle":"","parse-names":false,"suffix":""},{"dropping-particle":"","family":"Lee","given":"Dong-gwi","non-dropping-particle":"","parse-names":false,"suffix":""},{"dropping-particle":"","family":"Lee","given":"Ji Hyang","non-dropping-particle":"","parse-names":false,"suffix":""},{"dropping-particle":"","family":"Bae","given":"Byeng Hoon","non-dropping-particle":"","parse-names":false,"suffix":""},{"dropping-particle":"","family":"Jeong","given":"Sang Mok","non-dropping-particle":"","parse-names":false,"suffix":""}],"container-title":"Procedia - Social and Behavioral Sciences","id":"ITEM-1","issued":{"date-parts":[["2014"]]},"page":"777-781","publisher":"Elsevier B.V.","title":"Meaning in Life and School Adjustment: Testing the Mediating Effects of Problem-focused Coping and Self-acceptance","type":"article-journal","volume":"114"},"uris":["http://www.mendeley.com/documents/?uuid=2b3471a2-10ef-4f10-8864-52151571e30d"]}],"mendeley":{"formattedCitation":"(Cho et al., 2014)","plainTextFormattedCitation":"(Cho et al., 2014)","previouslyFormattedCitation":"[6]"},"properties":{"noteIndex":0},"schema":"https://github.com/citation-style-language/schema/raw/master/csl-citation.json"}</w:instrText>
      </w:r>
      <w:r w:rsidR="004D4BFF">
        <w:rPr>
          <w:lang w:val="en-US"/>
        </w:rPr>
        <w:fldChar w:fldCharType="separate"/>
      </w:r>
      <w:r w:rsidR="00F8707E" w:rsidRPr="00F8707E">
        <w:rPr>
          <w:lang w:val="en-US"/>
        </w:rPr>
        <w:t>(Cho et al., 2014)</w:t>
      </w:r>
      <w:r w:rsidR="004D4BFF">
        <w:rPr>
          <w:lang w:val="en-US"/>
        </w:rPr>
        <w:fldChar w:fldCharType="end"/>
      </w:r>
      <w:r w:rsidRPr="00550B85">
        <w:t>. Permasalahan yang di hadapi individu dalam penyesuaian diri memiliki banyak bentuk, salah satunya adalah penyesuaian diri di lingkungan sekolah (</w:t>
      </w:r>
      <w:r w:rsidRPr="00550B85">
        <w:rPr>
          <w:i/>
        </w:rPr>
        <w:t>school adjustment</w:t>
      </w:r>
      <w:r w:rsidRPr="00550B85">
        <w:t xml:space="preserve">). </w:t>
      </w:r>
    </w:p>
    <w:p w:rsidR="00BC1C24" w:rsidRPr="00550B85" w:rsidRDefault="00BC1C24" w:rsidP="00BC1C24">
      <w:pPr>
        <w:ind w:left="-2" w:firstLineChars="236" w:firstLine="566"/>
        <w:jc w:val="both"/>
      </w:pPr>
      <w:r w:rsidRPr="00550B85">
        <w:rPr>
          <w:i/>
        </w:rPr>
        <w:t xml:space="preserve">School adjustment </w:t>
      </w:r>
      <w:r w:rsidRPr="00550B85">
        <w:t>di definisikan sebagai suatu usaha atau proses yang dilakukan oleh seorang siswa atau siswi di lingkungan sekolah yang bertujuan untuk menciptakan hubungan yang harmonis antara lingkungan sekolah dengan siswa tersebut untuk mencapai hasil belajar yang optimal</w:t>
      </w:r>
      <w:r w:rsidR="004D4BFF">
        <w:fldChar w:fldCharType="begin" w:fldLock="1"/>
      </w:r>
      <w:r w:rsidR="00F8707E">
        <w:instrText>ADDIN CSL_CITATION {"citationItems":[{"id":"ITEM-1","itemData":{"DOI":"10.22460/fokus.v4i1.5822","ISSN":"2614-4131","abstract":"This research aim to show how overview adjusments of student at grade X IPA 3 SMAN 25 Garut. This research used descriptive qualitative method with case study approach. The sample research is 8 students from X IPA 3 SMAN 25 GARUT. The techniques data colection are interview, direct observation and documentation study. While, the data collections used by interview guidelines, observation and documentation study. The result of this research is how to show the adjusment of student grade X IPA 3 SMAN 25 Garut stated is good. This can be seen from the aspect of maintenance from the stage adapting to the theme, teachers and the school environment are quite good.Keywords: : Adjusment, student","author":[{"dropping-particle":"","family":"Endang","given":"Wiwin Nur","non-dropping-particle":"","parse-names":false,"suffix":""},{"dropping-particle":"","family":"Hendriana","given":"Heris","non-dropping-particle":"","parse-names":false,"suffix":""},{"dropping-particle":"","family":"Ningrum","given":"Devy Sekar Ayu","non-dropping-particle":"","parse-names":false,"suffix":""}],"container-title":"FOKUS (Kajian Bimbingan &amp; Konseling dalam Pendidikan)","id":"ITEM-1","issue":"1","issued":{"date-parts":[["2021"]]},"page":"32","title":"Gambaran Penyesuaian Diri Siswa Kelas X Ipa 3 Sma Negeri 25 Garut","type":"article-journal","volume":"4"},"uris":["http://www.mendeley.com/documents/?uuid=9ffedeed-dd61-46d8-99b0-9c2343615435"]}],"mendeley":{"formattedCitation":"(Endang et al., 2021)","plainTextFormattedCitation":"(Endang et al., 2021)","previouslyFormattedCitation":"[7]"},"properties":{"noteIndex":0},"schema":"https://github.com/citation-style-language/schema/raw/master/csl-citation.json"}</w:instrText>
      </w:r>
      <w:r w:rsidR="004D4BFF">
        <w:fldChar w:fldCharType="separate"/>
      </w:r>
      <w:r w:rsidR="00F8707E" w:rsidRPr="00F8707E">
        <w:t>(Endang et al., 2021)</w:t>
      </w:r>
      <w:r w:rsidR="004D4BFF">
        <w:fldChar w:fldCharType="end"/>
      </w:r>
      <w:r w:rsidRPr="00550B85">
        <w:t xml:space="preserve">. </w:t>
      </w:r>
      <w:r w:rsidRPr="00550B85">
        <w:rPr>
          <w:i/>
        </w:rPr>
        <w:t>School adjustment</w:t>
      </w:r>
      <w:r w:rsidRPr="00550B85">
        <w:t xml:space="preserve"> merupakan suatu proses bagaimana santri mampu mencapai keseimbangan diri dalam memenuhi kebutuhannya sesuai dengan tuntutan lingkungan di sekolah, sehingga santri bisa hidup dan bergaul secara baik dalam lingkungan sekolah dan merasa puas terhadap dirinya dan terhadap lingkungan tersebut. Santri yang tidak dapat menyesuaiakan diri dengan peraturan dan segala kegiatan di sekolah berasrama dengan baik akan memunculkan perilaku maladaptif atau melanggar disiplin sekolah. Individu yang mengalami kegagalan dalam </w:t>
      </w:r>
      <w:r w:rsidRPr="00550B85">
        <w:rPr>
          <w:i/>
        </w:rPr>
        <w:t>school adjustment</w:t>
      </w:r>
      <w:r w:rsidRPr="00550B85">
        <w:t xml:space="preserve"> yang positif dapat mengakibatkan individu tersebut memunculkan sikap dan perilaku yang salah seperti perilaku tidak terarah (nakal), emosional, tidak realistis, membabi buta dalam bertindak, dsb</w:t>
      </w:r>
      <w:r w:rsidR="004D4BFF">
        <w:fldChar w:fldCharType="begin" w:fldLock="1"/>
      </w:r>
      <w:r w:rsidR="00F8707E">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population.","author":[{"dropping-particle":"","family":"Randi","given":"Peni okto","non-dropping-particle":"","parse-names":false,"suffix":""}],"id":"ITEM-1","issue":"February","issued":{"date-parts":[["2021"]]},"page":"6","title":"Penyesuaian Diri Siswa Sekolah Berasrama (Studi DeskriptifKomparatif Terhadap Siswa SMAN 1 Sumatera Barat)","type":"article-journal","volume":"1"},"uris":["http://www.mendeley.com/documents/?uuid=0caee271-496c-4e60-800f-c7f6987dd16f"]}],"mendeley":{"formattedCitation":"(Randi, 2021)","plainTextFormattedCitation":"(Randi, 2021)","previouslyFormattedCitation":"[8]"},"properties":{"noteIndex":0},"schema":"https://github.com/citation-style-language/schema/raw/master/csl-citation.json"}</w:instrText>
      </w:r>
      <w:r w:rsidR="004D4BFF">
        <w:fldChar w:fldCharType="separate"/>
      </w:r>
      <w:bookmarkStart w:id="0" w:name="_GoBack"/>
      <w:bookmarkEnd w:id="0"/>
      <w:r w:rsidR="00F8707E" w:rsidRPr="00F8707E">
        <w:t>(Randi, 2021)</w:t>
      </w:r>
      <w:r w:rsidR="004D4BFF">
        <w:fldChar w:fldCharType="end"/>
      </w:r>
      <w:r w:rsidRPr="00550B85">
        <w:t>.</w:t>
      </w:r>
    </w:p>
    <w:p w:rsidR="00BC1C24" w:rsidRPr="00550B85" w:rsidRDefault="00BC1C24" w:rsidP="00BC1C24">
      <w:pPr>
        <w:ind w:left="-2" w:firstLineChars="236" w:firstLine="566"/>
        <w:jc w:val="both"/>
      </w:pPr>
      <w:r w:rsidRPr="00550B85">
        <w:t xml:space="preserve">Berdasarkan hasil wawancara pada beberapa ustadz dan ustadzah pengurus pondok pesantren yang menyatakan bahwa tingkat penyesuaian diri sekolah di pondok pesantren tergolong rendah terutama untuk santri yang masih berada di tingkat awal. Menurut ungkapan salah satu ustadzah asrama disana, biasanya dihari-hari awal masuk pesantren, mayoritas santri hanya menangis dan tidak mau bersosialaisasi dengan teman-teman yang baru baik saat di asarama ataupun ketika di sekolah. Untuk santri yang berada di kelas 2 dan 3 bentuk maladaptive yang ditunjukkan ketika mengalami kegagalan </w:t>
      </w:r>
      <w:r w:rsidRPr="00550B85">
        <w:rPr>
          <w:i/>
        </w:rPr>
        <w:t xml:space="preserve">school adjustment </w:t>
      </w:r>
      <w:r w:rsidRPr="00550B85">
        <w:t xml:space="preserve">biasanya melakukan bolos sekolah dengan alasan sakit atau tidur di dalam kelas. Hasil penelitian sebelumnya mengatakan bahwa setiap tahunnya 5-10% dari santri baru di Pondok Pesantren Assala Surakarta mengalami masalah dalam melakukan proses penyesuaian dilingkungan </w:t>
      </w:r>
      <w:r w:rsidRPr="00550B85">
        <w:lastRenderedPageBreak/>
        <w:t>sekolah, seperti tidak mampu mengikuti pelajaran, serta melakukan berbagai tindakan yang melanggar tata tertib pondok pesantren</w:t>
      </w:r>
      <w:r w:rsidR="004D4BFF">
        <w:rPr>
          <w:lang w:val="en-US"/>
        </w:rPr>
        <w:t xml:space="preserve"> </w:t>
      </w:r>
      <w:r w:rsidR="004D4BFF">
        <w:fldChar w:fldCharType="begin" w:fldLock="1"/>
      </w:r>
      <w:r w:rsidR="00F8707E">
        <w:instrText>ADDIN CSL_CITATION {"citationItems":[{"id":"ITEM-1","itemData":{"DOI":"10.15408/tazkiya.v9i2.17196","ISSN":"2656-0011","abstract":"Academic adjustment is an important thing for students, especially seventh graders at Miftahul Ulum Islamic Boarding School, one of the modern-based Islamic boarding schools that combines the national education curriculum and the cottage curriculum. In early adolescence, students have begun to develop cognitive strategies and adjust behavior to the academic environment. The ability of students to regulate cognitive and behavior in learning is called self-regulated learning. The purpose of this study was to determine the relationship between self-regulated learning and the academic adjustment amongst seventh grade students of Miftahul Ulum Islamic Boarding School. The research method used in this research was mixed methods. Quantitative data was collected from 160 students through The Motivated Strategies of Learning Questionnaire Scale (MSLQ) to measure self-regulated learning and Student Adaptation to College Questionnaire (SACQ) to measure academic adjustment. While in the qualitative approach, group interviews students were conducted into three group based on the level of the self-regulated learning group and academic adjustment. The result reveals that there was a significant positive relationship between self-regulated learning and the academic adjustment of seventh grade students at Miftahul Ulum Islamic Boarding School (r = 0,561; p &lt; 0,001) indicating that students who had high self-regulated learning also had high academic adjustment at Miftahul Ulum Islamic Boarding School. The group discussion found interesting results where students who have good motivation, cognitive strategies and learning behavior strategies, then adjust themselves to academic demands at Miftahul Ulum Islamic Boarding School is also good.","author":[{"dropping-particle":"","family":"Hannani","given":"Ulfa","non-dropping-particle":"","parse-names":false,"suffix":""},{"dropping-particle":"","family":"Ajisuksmo","given":"Clara","non-dropping-particle":"","parse-names":false,"suffix":""}],"container-title":"‎‎‎TAZKIYA: Journal of Psychology","id":"ITEM-1","issue":"2","issued":{"date-parts":[["2021"]]},"page":"107-121","title":"The Relationship of Self Regulated Learning with Academic Adjustment of Seventh Grade Santri of Pondok Pesantren","type":"article-journal","volume":"9"},"uris":["http://www.mendeley.com/documents/?uuid=949eed9c-ee18-426b-8900-0406b00ca863"]}],"mendeley":{"formattedCitation":"(Hannani &amp; Ajisuksmo, 2021)","plainTextFormattedCitation":"(Hannani &amp; Ajisuksmo, 2021)","previouslyFormattedCitation":"[9]"},"properties":{"noteIndex":0},"schema":"https://github.com/citation-style-language/schema/raw/master/csl-citation.json"}</w:instrText>
      </w:r>
      <w:r w:rsidR="004D4BFF">
        <w:fldChar w:fldCharType="separate"/>
      </w:r>
      <w:r w:rsidR="00F8707E" w:rsidRPr="00F8707E">
        <w:t>(Hannani &amp; Ajisuksmo, 2021)</w:t>
      </w:r>
      <w:r w:rsidR="004D4BFF">
        <w:fldChar w:fldCharType="end"/>
      </w:r>
      <w:r w:rsidRPr="00550B85">
        <w:t>. Dalam penelitian lain 55,1% remaja yang berada di lingkungan pesantren mengalami perilaku maladaptive akibat stress dalam menghadapi penyesuaian diri</w:t>
      </w:r>
      <w:r w:rsidR="009F2844">
        <w:t xml:space="preserve"> di lingkungan sekolah berasram</w:t>
      </w:r>
      <w:r w:rsidR="009F2844">
        <w:rPr>
          <w:lang w:val="en-US"/>
        </w:rPr>
        <w:t xml:space="preserve">a </w:t>
      </w:r>
      <w:r w:rsidR="009F2844">
        <w:rPr>
          <w:lang w:val="en-US"/>
        </w:rPr>
        <w:fldChar w:fldCharType="begin" w:fldLock="1"/>
      </w:r>
      <w:r w:rsidR="00F8707E">
        <w:rPr>
          <w:lang w:val="en-US"/>
        </w:rPr>
        <w:instrText>ADDIN CSL_CITATION {"citationItems":[{"id":"ITEM-1","itemData":{"abstract":"Pendahuluan: Kemampuan beradaptasi pada remaja merupakan suatu bentuk respon diri atau tingkah laku seseorang yang meliputi respon-respon mental yang dilakukan oleh remaja yang bersekolah di Pondok Pesantren. Remaja yang mengalami respon diri yang …","author":[{"dropping-particle":"","family":"Fitriani","given":"Livia","non-dropping-particle":"","parse-names":false,"suffix":""},{"dropping-particle":"","family":"Perdani","given":"Zulia Putri","non-dropping-particle":"","parse-names":false,"suffix":""},{"dropping-particle":"","family":"Riyantini","given":"Yanti","non-dropping-particle":"","parse-names":false,"suffix":""}],"container-title":"Jurnal Kesehatan Pertiwi","id":"ITEM-1","issue":"1","issued":{"date-parts":[["2020"]]},"page":"125-128","title":"Hubungan Tingkat Stres Remaja dengan Kemampuan Beradaptasi di Pondok Pesantren Kota Tangerang","type":"article-journal","volume":"2"},"uris":["http://www.mendeley.com/documents/?uuid=c9f14c5c-5a23-4b68-9a90-1d8beb18b4a3"]}],"mendeley":{"formattedCitation":"(Fitriani et al., 2020)","plainTextFormattedCitation":"(Fitriani et al., 2020)","previouslyFormattedCitation":"[10]"},"properties":{"noteIndex":0},"schema":"https://github.com/citation-style-language/schema/raw/master/csl-citation.json"}</w:instrText>
      </w:r>
      <w:r w:rsidR="009F2844">
        <w:rPr>
          <w:lang w:val="en-US"/>
        </w:rPr>
        <w:fldChar w:fldCharType="separate"/>
      </w:r>
      <w:r w:rsidR="00F8707E" w:rsidRPr="00F8707E">
        <w:rPr>
          <w:lang w:val="en-US"/>
        </w:rPr>
        <w:t>(Fitriani et al., 2020)</w:t>
      </w:r>
      <w:r w:rsidR="009F2844">
        <w:rPr>
          <w:lang w:val="en-US"/>
        </w:rPr>
        <w:fldChar w:fldCharType="end"/>
      </w:r>
      <w:r w:rsidRPr="00550B85">
        <w:t>.</w:t>
      </w:r>
    </w:p>
    <w:p w:rsidR="00BC1C24" w:rsidRPr="00550B85" w:rsidRDefault="00BC1C24" w:rsidP="00BC1C24">
      <w:pPr>
        <w:ind w:left="-2" w:firstLineChars="236" w:firstLine="566"/>
        <w:jc w:val="both"/>
      </w:pPr>
      <w:r w:rsidRPr="00550B85">
        <w:t xml:space="preserve">Terdapat beberapa faktor yang mempengaruhi </w:t>
      </w:r>
      <w:r w:rsidRPr="00550B85">
        <w:rPr>
          <w:i/>
        </w:rPr>
        <w:t>school adjustment</w:t>
      </w:r>
      <w:r w:rsidRPr="00550B85">
        <w:t xml:space="preserve"> pada santri, salah satunya yakni </w:t>
      </w:r>
      <w:r w:rsidRPr="00550B85">
        <w:rPr>
          <w:i/>
        </w:rPr>
        <w:t xml:space="preserve">self-regulated learning </w:t>
      </w:r>
      <w:r w:rsidRPr="00550B85">
        <w:t xml:space="preserve">yang di miliki. </w:t>
      </w:r>
      <w:r w:rsidRPr="00550B85">
        <w:rPr>
          <w:i/>
        </w:rPr>
        <w:t>Self-regulated learning</w:t>
      </w:r>
      <w:r w:rsidRPr="00550B85">
        <w:t xml:space="preserve"> adalah kemampuan seseorang dalam mengatur dirinya untuk menjadi aktif secara metakognisi, motivasi, dan perilaku (behavior) di dalam proses belajar untuk mencapai tujuan belajar yang optimal</w:t>
      </w:r>
      <w:r w:rsidR="009F2844">
        <w:rPr>
          <w:color w:val="000000"/>
          <w:lang w:val="en-US"/>
        </w:rPr>
        <w:t xml:space="preserve"> </w:t>
      </w:r>
      <w:r w:rsidR="009F2844">
        <w:rPr>
          <w:color w:val="000000"/>
          <w:lang w:val="en-US"/>
        </w:rPr>
        <w:fldChar w:fldCharType="begin" w:fldLock="1"/>
      </w:r>
      <w:r w:rsidR="00F8707E">
        <w:rPr>
          <w:color w:val="000000"/>
          <w:lang w:val="en-US"/>
        </w:rPr>
        <w:instrText>ADDIN CSL_CITATION {"citationItems":[{"id":"ITEM-1","itemData":{"DOI":"10.24042/ajp.v3i1.6046","ISSN":"2654-5470","abstract":"ABSTRAK Latar Belakang : Regulasi diri dalam belajar (Self Regulated Learning) adalah kemampuan mahasiswa untuk menjadi aktif secara metakognisi, motivasi, dan perilaku (behavior) di dalam proses belajar.Efikasi diri merupakan suatu keyakinan atau kepercayaan diri individu mengenai kemampuannya untuk mengorganisasi, melakukan suatu tugas, mencapai suatu tujuan, menghasilkan sesuatu dan mengimplementasi tindakan untuk mencapai kecakapan tertentu. Efikasi diri juga berpengaruh terhadap keaktifan, dan psikologi mahasiswa dalam proses pembelajaran di perkuliahan. Efikasi diri dan regulasi diri dalam belajar yang tinggi akan membuat mahasiswa lebih mampu mengelola pengalaman belajarnya di dalam berbagai hal secara efektif sehingga dapat mencapai hasil belajar yang optimal, sedangkan pada mahasiswa yang memiliki efikasi diri yang rendah akan sangat mempengaruhi dalam menyelesaikan tugasnya untuk mencapai hasil tertentuTujuan Penelitian  :   Untuk Mengetahui hubungan efikasi diri dengan regulasi diri dalam belajar pada mahasiswa Fakultas Kedokteran Universitas Malahayati.Metode  : Penelitian ini merupakan penelitian kuantitatif dengan rancangan cross sectional. Sampel penelitian ini sebanyak 123 mahasiswa kedokteran Universitas Malahayati. angkatan 2018.Hasil Penelitian  : Sebagian besar efikasi diri dari mahasiswa di Fakultas Kedokteran Universitas Malahayati adalah kategori sedang sebanyak 76 mahasiswa (61,8%). Nilai median 36.68, standar deviation 7.359, nilai minimum 18, dan nilai maksimum 45. Sebagian besar regulasi diri dalam belajar pada mahasiswa di Fakultas Kedokteran Universitas Malahayati adalah kategori sedang sebanyak 67 mahasiswa (54.5%). Nilai median 102.16, standar deviation 16.750, nilai minimum 54 dan nilai maksimum 131.Terdapat hubungan bermakna antara efikasi diri dengan regulasi diri dalam belajar (p-value=0.000)Kesimpulan : Bahwa semakin tinggi efikasi diri maka  semakin tinggi regulasi diri dalam belajar seseorang. Kata Kunci : Efikasi diri, Regulasi diri, Mahasiswa  ","author":[{"dropping-particle":"","family":"Efendi","given":"Deta Hikmalia","non-dropping-particle":"","parse-names":false,"suffix":""},{"dropping-particle":"","family":"Sandayanti","given":"Vira","non-dropping-particle":"","parse-names":false,"suffix":""},{"dropping-particle":"","family":"Hutasuhut","given":"Arti Febriyani","non-dropping-particle":"","parse-names":false,"suffix":""}],"container-title":"ANFUSINA: Journal of Psychology","id":"ITEM-1","issue":"1","issued":{"date-parts":[["2020"]]},"page":"21-32","title":"Hubungan Efikasi Diri Dengan Regulasi Diri Dalam Belajar Pada Mahasiswa Fakultas Kedokteran Universitas Malahayati","type":"article-journal","volume":"3"},"uris":["http://www.mendeley.com/documents/?uuid=b391417e-b1aa-4ff1-92b3-cf6c2c739d60"]}],"mendeley":{"formattedCitation":"(Efendi et al., 2020)","plainTextFormattedCitation":"(Efendi et al., 2020)","previouslyFormattedCitation":"[11]"},"properties":{"noteIndex":0},"schema":"https://github.com/citation-style-language/schema/raw/master/csl-citation.json"}</w:instrText>
      </w:r>
      <w:r w:rsidR="009F2844">
        <w:rPr>
          <w:color w:val="000000"/>
          <w:lang w:val="en-US"/>
        </w:rPr>
        <w:fldChar w:fldCharType="separate"/>
      </w:r>
      <w:r w:rsidR="00F8707E" w:rsidRPr="00F8707E">
        <w:rPr>
          <w:color w:val="000000"/>
          <w:lang w:val="en-US"/>
        </w:rPr>
        <w:t>(Efendi et al., 2020)</w:t>
      </w:r>
      <w:r w:rsidR="009F2844">
        <w:rPr>
          <w:color w:val="000000"/>
          <w:lang w:val="en-US"/>
        </w:rPr>
        <w:fldChar w:fldCharType="end"/>
      </w:r>
      <w:r w:rsidRPr="00550B85">
        <w:t xml:space="preserve">. Secara sederhana </w:t>
      </w:r>
      <w:r w:rsidRPr="00550B85">
        <w:rPr>
          <w:i/>
        </w:rPr>
        <w:t xml:space="preserve">self-regulated learning </w:t>
      </w:r>
      <w:r w:rsidRPr="00550B85">
        <w:t xml:space="preserve">didefinisikan sebagai upaya yang dilakukan oleh individu secara sengaja untuk mencapai tujuan dengan mengelola pikiran, perasaan dan perilakunya dalam belajar. Menurut Boekrats (2000) </w:t>
      </w:r>
      <w:r w:rsidRPr="00550B85">
        <w:rPr>
          <w:i/>
        </w:rPr>
        <w:t>Self-regulated learning</w:t>
      </w:r>
      <w:r w:rsidRPr="00550B85">
        <w:t xml:space="preserve"> terdiri dari tiga tahapan yang berbentuk siklus, tahapan tersebut melibatkan aspek kognitif, perasaan dan perilaku. Tiga tahapan tersebut meliputi: 1) tahapan kognitif atau pikiran dimana individu mampu melakukan </w:t>
      </w:r>
      <w:r w:rsidRPr="00550B85">
        <w:rPr>
          <w:i/>
        </w:rPr>
        <w:t xml:space="preserve">task analysis </w:t>
      </w:r>
      <w:r w:rsidRPr="00550B85">
        <w:t xml:space="preserve">untuk mengoptimalakan tindakan yang akan dilakukan serta </w:t>
      </w:r>
      <w:r w:rsidRPr="00550B85">
        <w:rPr>
          <w:i/>
        </w:rPr>
        <w:t xml:space="preserve">self-motivational belief </w:t>
      </w:r>
      <w:r w:rsidRPr="00550B85">
        <w:t xml:space="preserve">yakni keyakinana individu akan kemampuannya; 2) tahapan perilaku atau </w:t>
      </w:r>
      <w:r w:rsidRPr="00550B85">
        <w:rPr>
          <w:i/>
        </w:rPr>
        <w:t>performance</w:t>
      </w:r>
      <w:r w:rsidRPr="00550B85">
        <w:t xml:space="preserve"> dimana individu mampu mengontrol diri dengan situasi dan kondisi lingkungan yang dihadapi; 3) tahap </w:t>
      </w:r>
      <w:r w:rsidRPr="00550B85">
        <w:rPr>
          <w:i/>
        </w:rPr>
        <w:t xml:space="preserve">self-reflection </w:t>
      </w:r>
      <w:r w:rsidRPr="00550B85">
        <w:t>ketika individu mengevaluasi perilaku yang signifikan untuk memperoleh hasil yang diharapkan lingkungan sesuai dengan reaksi kognitif dan emosi yang di harapkan</w:t>
      </w:r>
      <w:r w:rsidR="009F2844">
        <w:rPr>
          <w:color w:val="000000"/>
          <w:lang w:val="en-US"/>
        </w:rPr>
        <w:t xml:space="preserve"> </w:t>
      </w:r>
      <w:r w:rsidR="009F2844">
        <w:rPr>
          <w:color w:val="000000"/>
          <w:lang w:val="en-US"/>
        </w:rPr>
        <w:fldChar w:fldCharType="begin" w:fldLock="1"/>
      </w:r>
      <w:r w:rsidR="00F8707E">
        <w:rPr>
          <w:color w:val="000000"/>
          <w:lang w:val="en-US"/>
        </w:rPr>
        <w:instrText>ADDIN CSL_CITATION {"citationItems":[{"id":"ITEM-1","itemData":{"author":[{"dropping-particle":"","family":"Saraswati","given":"Putri","non-dropping-particle":"","parse-names":false,"suffix":""}],"id":"ITEM-1","issued":{"date-parts":[["2018"]]},"number-of-pages":"12","publisher":"SMA SALAHUDDIN","publisher-place":"Malang","title":"BUKU PANDUAN ASESMEN PSIKOLOGIS","type":"book"},"uris":["http://www.mendeley.com/documents/?uuid=6bcb3fda-4c53-47d2-bd74-2bb501876f63"]}],"mendeley":{"formattedCitation":"(Saraswati, 2018)","plainTextFormattedCitation":"(Saraswati, 2018)","previouslyFormattedCitation":"[12]"},"properties":{"noteIndex":0},"schema":"https://github.com/citation-style-language/schema/raw/master/csl-citation.json"}</w:instrText>
      </w:r>
      <w:r w:rsidR="009F2844">
        <w:rPr>
          <w:color w:val="000000"/>
          <w:lang w:val="en-US"/>
        </w:rPr>
        <w:fldChar w:fldCharType="separate"/>
      </w:r>
      <w:r w:rsidR="00F8707E" w:rsidRPr="00F8707E">
        <w:rPr>
          <w:color w:val="000000"/>
          <w:lang w:val="en-US"/>
        </w:rPr>
        <w:t>(Saraswati, 2018)</w:t>
      </w:r>
      <w:r w:rsidR="009F2844">
        <w:rPr>
          <w:color w:val="000000"/>
          <w:lang w:val="en-US"/>
        </w:rPr>
        <w:fldChar w:fldCharType="end"/>
      </w:r>
      <w:r w:rsidRPr="00550B85">
        <w:t>.</w:t>
      </w:r>
    </w:p>
    <w:p w:rsidR="00BC1C24" w:rsidRPr="00550B85" w:rsidRDefault="00BC1C24" w:rsidP="00BC1C24">
      <w:pPr>
        <w:ind w:left="-2" w:firstLineChars="236" w:firstLine="566"/>
        <w:jc w:val="both"/>
      </w:pPr>
      <w:r w:rsidRPr="00550B85">
        <w:t xml:space="preserve">Hal tersebut sejalan dengan penelitian Rozali (2022) yang menjelaskan bahwa 49% mahasiswa yang memiliki </w:t>
      </w:r>
      <w:r w:rsidRPr="00550B85">
        <w:rPr>
          <w:i/>
        </w:rPr>
        <w:t>self-regulated learning</w:t>
      </w:r>
      <w:r w:rsidRPr="00550B85">
        <w:t xml:space="preserve"> yang baik juga memiliki kemampuan </w:t>
      </w:r>
      <w:r w:rsidRPr="00550B85">
        <w:rPr>
          <w:i/>
        </w:rPr>
        <w:t xml:space="preserve">school adjustment </w:t>
      </w:r>
      <w:r w:rsidRPr="00550B85">
        <w:t>yang baik pula</w:t>
      </w:r>
      <w:r w:rsidR="009F2844">
        <w:rPr>
          <w:color w:val="000000"/>
          <w:lang w:val="en-US"/>
        </w:rPr>
        <w:t xml:space="preserve"> </w:t>
      </w:r>
      <w:r w:rsidR="009F2844">
        <w:rPr>
          <w:color w:val="000000"/>
          <w:lang w:val="en-US"/>
        </w:rPr>
        <w:fldChar w:fldCharType="begin" w:fldLock="1"/>
      </w:r>
      <w:r w:rsidR="00F8707E">
        <w:rPr>
          <w:color w:val="000000"/>
          <w:lang w:val="en-US"/>
        </w:rPr>
        <w:instrText>ADDIN CSL_CITATION {"citationItems":[{"id":"ITEM-1","itemData":{"DOI":"10.1007/978-3-030-85524-6_3","abstract":"… First, they can support learners’ feelings of competence underlying motivation by creating opportunities for them to succeed and drawing attention to their incremental progress. Next, …","author":[{"dropping-particle":"","family":"Rozali","given":"Yuli asmi dan elfajri yashirly","non-dropping-particle":"","parse-names":false,"suffix":""}],"id":"ITEM-1","issue":"9","issued":{"date-parts":[["2022"]]},"page":"25-43","title":"Self-Regulated Learning","type":"article-journal"},"uris":["http://www.mendeley.com/documents/?uuid=97619409-d56c-44ee-9231-a0f96f6d112b"]}],"mendeley":{"formattedCitation":"(Rozali, 2022)","plainTextFormattedCitation":"(Rozali, 2022)","previouslyFormattedCitation":"[13]"},"properties":{"noteIndex":0},"schema":"https://github.com/citation-style-language/schema/raw/master/csl-citation.json"}</w:instrText>
      </w:r>
      <w:r w:rsidR="009F2844">
        <w:rPr>
          <w:color w:val="000000"/>
          <w:lang w:val="en-US"/>
        </w:rPr>
        <w:fldChar w:fldCharType="separate"/>
      </w:r>
      <w:r w:rsidR="00F8707E" w:rsidRPr="00F8707E">
        <w:rPr>
          <w:color w:val="000000"/>
          <w:lang w:val="en-US"/>
        </w:rPr>
        <w:t>(Rozali, 2022)</w:t>
      </w:r>
      <w:r w:rsidR="009F2844">
        <w:rPr>
          <w:color w:val="000000"/>
          <w:lang w:val="en-US"/>
        </w:rPr>
        <w:fldChar w:fldCharType="end"/>
      </w:r>
      <w:r w:rsidRPr="00550B85">
        <w:t xml:space="preserve">.  Dan didalam penelitian lain menjelaskan bahwa terdapat pengaruh positif </w:t>
      </w:r>
      <w:r w:rsidRPr="00550B85">
        <w:rPr>
          <w:i/>
        </w:rPr>
        <w:t>self-regulated learning</w:t>
      </w:r>
      <w:r w:rsidRPr="00550B85">
        <w:t xml:space="preserve"> terhadap penyesuaian akademik pada siswa SMK di Jakarta selama pembelajaran. Pengaruh</w:t>
      </w:r>
      <w:r w:rsidRPr="00550B85">
        <w:rPr>
          <w:i/>
        </w:rPr>
        <w:t xml:space="preserve"> self-regulated learning</w:t>
      </w:r>
      <w:r w:rsidRPr="00550B85">
        <w:t xml:space="preserve"> terhadap penyesuaian akademik sebesar 11,4% sedangkan sisanya yaitu 88,6% dipengaruhi oleh variabel atau faktor lain</w:t>
      </w:r>
      <w:r w:rsidR="009F2844">
        <w:rPr>
          <w:rFonts w:eastAsia="Times New Roman"/>
          <w:lang w:val="en-US"/>
        </w:rPr>
        <w:t xml:space="preserve"> </w:t>
      </w:r>
      <w:r w:rsidR="009F2844">
        <w:rPr>
          <w:rFonts w:eastAsia="Times New Roman"/>
          <w:lang w:val="en-US"/>
        </w:rPr>
        <w:fldChar w:fldCharType="begin" w:fldLock="1"/>
      </w:r>
      <w:r w:rsidR="00F8707E">
        <w:rPr>
          <w:rFonts w:eastAsia="Times New Roman"/>
          <w:lang w:val="en-US"/>
        </w:rPr>
        <w:instrText>ADDIN CSL_CITATION {"citationItems":[{"id":"ITEM-1","itemData":{"abstract":"Vocational High School is a vocational-based education level where students are trained to be ready to work in the field of industrial expertise. During the Covid-19 pandemic, there was a change in the learning system from face-to-face at school to online learning at home that must be followed by vocational high school students, where students had to be more independent in learning and complete all their academic demands. These academic demands require vocational high school students to have good academic adjustments. One of the factors that influence academic adjustment is self-regulated learning. The purpose of this study was to determine the effect of self-regulated learning on academic adjustment of vocational students in Jakarta during online learning. This research design is quantitative non-experimental with the type of comparative causal research. The sampling technique was non-probability sampling with purposive sampling, and a sample of 270 SMK students in Jakarta. The self-regulated learning measuring instrument has 31 valid items with a value of (α) = 0.916 with a validity range (r) of 0.329-0.756. The academic adjustment scale has 26 valid items with a value of (α) = 0.911 with a validity range (r) of 0.385-0.666. The results of the regression test get the results of sig. (p) of 0.000 (p &lt; 0.05), self-regulated learning affects academic adjustment by 11.4%, the rest is influenced by other factors means that the hypothesis is accepted, namely there is a positive influence on self-esteem. Regulated learning on academic adjustment in vocational students in Jakarta. Vocational high school students in Jakarta have more low self-regulated learning (51.9%) and more have poor academic adjustment (53.3%). Vocational high school students in Jakarta are female, have study groups and choose their own to enter vocational high schools, have more good academic adjustments","author":[{"dropping-particle":"","family":"Maranressy","given":"Yeremias Anempi Akasaman","non-dropping-particle":"","parse-names":false,"suffix":""},{"dropping-particle":"","family":"Rozali","given":"Yuli Asmi","non-dropping-particle":"","parse-names":false,"suffix":""}],"container-title":"Psychommunity: Seminar Nasional Psikologi Esa Unggul","id":"ITEM-1","issue":"9","issued":{"date-parts":[["2021"]]},"page":"78-90","title":"Pengaruh self-regulated learning terhadap penyesuaian akademik siswa smk di jakarta selama pembelajaran online","type":"article-journal","volume":"1"},"uris":["http://www.mendeley.com/documents/?uuid=9e79f8b6-48f5-4ac4-9a3b-841417dfd2ca"]}],"mendeley":{"formattedCitation":"(Maranressy &amp; Rozali, 2021)","plainTextFormattedCitation":"(Maranressy &amp; Rozali, 2021)","previouslyFormattedCitation":"[14]"},"properties":{"noteIndex":0},"schema":"https://github.com/citation-style-language/schema/raw/master/csl-citation.json"}</w:instrText>
      </w:r>
      <w:r w:rsidR="009F2844">
        <w:rPr>
          <w:rFonts w:eastAsia="Times New Roman"/>
          <w:lang w:val="en-US"/>
        </w:rPr>
        <w:fldChar w:fldCharType="separate"/>
      </w:r>
      <w:r w:rsidR="00F8707E" w:rsidRPr="00F8707E">
        <w:rPr>
          <w:rFonts w:eastAsia="Times New Roman"/>
          <w:lang w:val="en-US"/>
        </w:rPr>
        <w:t>(Maranressy &amp; Rozali, 2021)</w:t>
      </w:r>
      <w:r w:rsidR="009F2844">
        <w:rPr>
          <w:rFonts w:eastAsia="Times New Roman"/>
          <w:lang w:val="en-US"/>
        </w:rPr>
        <w:fldChar w:fldCharType="end"/>
      </w:r>
      <w:r w:rsidRPr="00550B85">
        <w:t xml:space="preserve">.  </w:t>
      </w:r>
    </w:p>
    <w:p w:rsidR="00BC1C24" w:rsidRPr="00550B85" w:rsidRDefault="00BC1C24" w:rsidP="00BC1C24">
      <w:pPr>
        <w:ind w:left="-2" w:firstLineChars="236" w:firstLine="566"/>
        <w:jc w:val="both"/>
        <w:rPr>
          <w:sz w:val="28"/>
        </w:rPr>
      </w:pPr>
      <w:r w:rsidRPr="00550B85">
        <w:t xml:space="preserve">Dalam penjelasan singkat diatas dikatakan bahwa </w:t>
      </w:r>
      <w:r w:rsidRPr="00550B85">
        <w:rPr>
          <w:i/>
        </w:rPr>
        <w:t>self-regulated learning</w:t>
      </w:r>
      <w:r w:rsidRPr="00550B85">
        <w:t xml:space="preserve"> mempengaruhi secara positif penyesuaian akademik dan permasalahan yang terjadi selama proses pembentukan penyesuaian diri di sekolah. Meskipun </w:t>
      </w:r>
      <w:r w:rsidRPr="00550B85">
        <w:rPr>
          <w:i/>
        </w:rPr>
        <w:t>self-regulated learning</w:t>
      </w:r>
      <w:r w:rsidRPr="00550B85">
        <w:t xml:space="preserve"> menjadi faktor yang penting dalam pencapaian akademik, bukan berarti </w:t>
      </w:r>
      <w:r w:rsidRPr="00550B85">
        <w:rPr>
          <w:i/>
        </w:rPr>
        <w:t>self-regulated learning</w:t>
      </w:r>
      <w:r w:rsidRPr="00550B85">
        <w:t xml:space="preserve"> tidak mempengaruhi </w:t>
      </w:r>
      <w:r w:rsidRPr="00550B85">
        <w:rPr>
          <w:i/>
        </w:rPr>
        <w:t>school adjustment</w:t>
      </w:r>
      <w:r w:rsidRPr="00550B85">
        <w:t xml:space="preserve"> sama sekali. Sebenarnya, </w:t>
      </w:r>
      <w:r w:rsidRPr="00550B85">
        <w:rPr>
          <w:i/>
        </w:rPr>
        <w:t>self-regulated learning</w:t>
      </w:r>
      <w:r w:rsidRPr="00550B85">
        <w:t xml:space="preserve"> memiliki potensi untuk berdampak positif pada </w:t>
      </w:r>
      <w:r w:rsidRPr="00550B85">
        <w:rPr>
          <w:i/>
        </w:rPr>
        <w:t>school adjustment</w:t>
      </w:r>
      <w:r w:rsidRPr="00550B85">
        <w:t xml:space="preserve"> individu. </w:t>
      </w:r>
      <w:r w:rsidRPr="00550B85">
        <w:rPr>
          <w:i/>
        </w:rPr>
        <w:t>School adjustment</w:t>
      </w:r>
      <w:r w:rsidRPr="00550B85">
        <w:t xml:space="preserve"> merujuk pada sejauh mana siswa dapat beradaptasi dengan tuntutan lingkungan sekolah, termasuk dalam hal keterlibatan akademik, hubungan dengan guru dan teman sebaya, partisipasi dalam kegiatan ekstrakurikuler, dan kesejahteraan emosional.</w:t>
      </w:r>
    </w:p>
    <w:p w:rsidR="00BC1C24" w:rsidRPr="00550B85" w:rsidRDefault="00BC1C24" w:rsidP="00BC1C24">
      <w:pPr>
        <w:ind w:firstLine="564"/>
        <w:jc w:val="both"/>
      </w:pPr>
      <w:r w:rsidRPr="00550B85">
        <w:t xml:space="preserve">Selain </w:t>
      </w:r>
      <w:r w:rsidRPr="00550B85">
        <w:rPr>
          <w:i/>
        </w:rPr>
        <w:t>self-regulated learning</w:t>
      </w:r>
      <w:r w:rsidRPr="00550B85">
        <w:t xml:space="preserve">, </w:t>
      </w:r>
      <w:r w:rsidRPr="00550B85">
        <w:rPr>
          <w:i/>
        </w:rPr>
        <w:t xml:space="preserve">academic buoyancy </w:t>
      </w:r>
      <w:r w:rsidRPr="00550B85">
        <w:t xml:space="preserve">juga mempengaruhi tingkat </w:t>
      </w:r>
      <w:r w:rsidRPr="00550B85">
        <w:rPr>
          <w:i/>
        </w:rPr>
        <w:t xml:space="preserve">school adjustment </w:t>
      </w:r>
      <w:r>
        <w:t xml:space="preserve">seseorang. </w:t>
      </w:r>
      <w:r w:rsidRPr="00550B85">
        <w:rPr>
          <w:i/>
        </w:rPr>
        <w:t>Academic buoyancy</w:t>
      </w:r>
      <w:r w:rsidRPr="00550B85">
        <w:t xml:space="preserve"> merupakan suatu konsep pertahanan yang sesuai dengan kondisi yang dialami oleh santri saat ini, dimana tuntutan, tantangan dan kemunduran akademis merupakan bagian dari keseharian santri di sekolah</w:t>
      </w:r>
      <w:r w:rsidR="009F2844">
        <w:rPr>
          <w:color w:val="000000"/>
          <w:lang w:val="en-US"/>
        </w:rPr>
        <w:t xml:space="preserve"> </w:t>
      </w:r>
      <w:r w:rsidR="009F2844">
        <w:rPr>
          <w:color w:val="000000"/>
          <w:lang w:val="en-US"/>
        </w:rPr>
        <w:fldChar w:fldCharType="begin" w:fldLock="1"/>
      </w:r>
      <w:r w:rsidR="00F8707E">
        <w:rPr>
          <w:color w:val="000000"/>
          <w:lang w:val="en-US"/>
        </w:rPr>
        <w:instrText>ADDIN CSL_CITATION {"citationItems":[{"id":"ITEM-1","itemData":{"ISSN":"2407-2532","abstract":"Research on the reliability and validity of the academic buoyancy construct is important considering that there is currently no instrument specifically used to measure or assess academic buoyancy in Indonesia. The subjects in this study were 1352 junior and senior high school students in Bandung. The academic buoyancy scale used in this study is an adaptation of the academic buoyancy questionnaire developed by Martin and Marsh (2008). The analytical method used is confirmatory factor. The results showed that the items for the academic buoyancy scale had SLF values ranging from 0.647 to 0.843 so that all items could be said to be valid. The CR value is 0.823 and the VE is 0.54 which means that the academic buoyancy scale can be trusted. The direction for mass research is to take research subjects from different educational levels so that discussions about academic buoyancy in Indonesia can be more comprehensive.","author":[{"dropping-particle":"","family":"Rohinsa Sitompul","given":"Meilani","non-dropping-particle":"","parse-names":false,"suffix":""}],"container-title":"Humanitas","id":"ITEM-1","issue":"3","issued":{"date-parts":[["2021"]]},"page":"389-397","title":"Reliabilitas dan Validitas Konstruk Academic Buoyancy di Indonesia","type":"article-journal","volume":"5"},"uris":["http://www.mendeley.com/documents/?uuid=d4e8a007-5752-4a8c-8815-1f108c075be2"]}],"mendeley":{"formattedCitation":"(Rohinsa Sitompul, 2021)","plainTextFormattedCitation":"(Rohinsa Sitompul, 2021)","previouslyFormattedCitation":"[15]"},"properties":{"noteIndex":0},"schema":"https://github.com/citation-style-language/schema/raw/master/csl-citation.json"}</w:instrText>
      </w:r>
      <w:r w:rsidR="009F2844">
        <w:rPr>
          <w:color w:val="000000"/>
          <w:lang w:val="en-US"/>
        </w:rPr>
        <w:fldChar w:fldCharType="separate"/>
      </w:r>
      <w:r w:rsidR="00F8707E" w:rsidRPr="00F8707E">
        <w:rPr>
          <w:color w:val="000000"/>
          <w:lang w:val="en-US"/>
        </w:rPr>
        <w:t>(Rohinsa Sitompul, 2021)</w:t>
      </w:r>
      <w:r w:rsidR="009F2844">
        <w:rPr>
          <w:color w:val="000000"/>
          <w:lang w:val="en-US"/>
        </w:rPr>
        <w:fldChar w:fldCharType="end"/>
      </w:r>
      <w:r w:rsidRPr="00550B85">
        <w:t xml:space="preserve">. </w:t>
      </w:r>
      <w:r w:rsidRPr="00550B85">
        <w:rPr>
          <w:i/>
        </w:rPr>
        <w:t>Academic buoyancy</w:t>
      </w:r>
      <w:r w:rsidRPr="00550B85">
        <w:t xml:space="preserve"> didefinisikan sebagai kemampuan santri untuk sukses dalam mengatasi rintangan dan tantangan yang tipikal dengan kondisi sehari hari di sekolah (misalnya dalam menghadapi nilai yang rendah, menyelesaikan tugas, mengatasi tekanan ulangan dan tugas yang sulit)</w:t>
      </w:r>
      <w:r w:rsidR="009F2844">
        <w:rPr>
          <w:lang w:val="en-US"/>
        </w:rPr>
        <w:t xml:space="preserve"> </w:t>
      </w:r>
      <w:r w:rsidRPr="00550B85">
        <w:t xml:space="preserve">(Martin &amp; Marsh, 2008b). </w:t>
      </w:r>
      <w:r w:rsidRPr="00550B85">
        <w:rPr>
          <w:i/>
        </w:rPr>
        <w:t>Academic bouyancy</w:t>
      </w:r>
      <w:r w:rsidRPr="00550B85">
        <w:t xml:space="preserve"> berperan penting dalam hasil akademik dan penyesuaian diri santri di sekolah. </w:t>
      </w:r>
      <w:r w:rsidRPr="00550B85">
        <w:rPr>
          <w:i/>
        </w:rPr>
        <w:t>Academic buoyancy</w:t>
      </w:r>
      <w:r w:rsidRPr="00550B85">
        <w:t xml:space="preserve"> adalah prediktor kuat dalam penyesuaian diri di sekolah daripada beberapa faktor penentu lainnya seperti </w:t>
      </w:r>
      <w:r w:rsidRPr="00550B85">
        <w:lastRenderedPageBreak/>
        <w:t xml:space="preserve">dukungan, motivasi, dan keterlibatan sekolah adaptif. Dengan kata lain </w:t>
      </w:r>
      <w:r w:rsidRPr="00550B85">
        <w:rPr>
          <w:i/>
        </w:rPr>
        <w:t xml:space="preserve">academic buoyancy </w:t>
      </w:r>
      <w:r w:rsidRPr="00550B85">
        <w:t>dapat bermanfaat bagi berbagai pengalaman akademik santri baik dalam pembelajaran maupun adaptasi dengan lingkungan sekolahnya</w:t>
      </w:r>
      <w:r w:rsidR="009F2844">
        <w:rPr>
          <w:lang w:val="en-US"/>
        </w:rPr>
        <w:t xml:space="preserve"> </w:t>
      </w:r>
      <w:r w:rsidR="009F2844">
        <w:rPr>
          <w:lang w:val="en-US"/>
        </w:rPr>
        <w:fldChar w:fldCharType="begin" w:fldLock="1"/>
      </w:r>
      <w:r w:rsidR="00F8707E">
        <w:rPr>
          <w:lang w:val="en-US"/>
        </w:rPr>
        <w:instrText>ADDIN CSL_CITATION {"citationItems":[{"id":"ITEM-1","itemData":{"DOI":"10.1037/edu0000753","ISBN":"0000000163231","ISSN":"19392176","abstract":"The present longitudinal study examined the reciprocal relationships among students’ academic buoyancy, their perceptions of school support (learning support, teacher relational support, school belonging, and classroom management), and their motivation and engagement (perseverance, perceived competence, valuing of school) across 1 year of school. Using information from a large sample of secondary school students (Grades 7–11) in New South Wales, Australia (N = 71,681 students, K = 292 schools), the current study examined a series of single-level (students) and doubly-latent multilevel (students and schools) cross-lagged structural equation models. At the student level, results revealed a reciprocal relationship among students’ sense of school belonging and academic buoyancy. There were also several significant directional paths at the student level, such that academic buoyancy predicted students’ motivation, engagement, and perceptions of school support 1 year later. At the school level, there were no significant reciprocal effects, but there were significant directional effects such that schools with higher average classroom management and school belonging tended to also have higher average academic buoyancy 1 year later. These findings contribute to ongoing research into ways researchers and educators may support and optimize student and whole-school academic buoyancy.","author":[{"dropping-particle":"","family":"Bostwick","given":"Keiko C.P.","non-dropping-particle":"","parse-names":false,"suffix":""},{"dropping-particle":"","family":"Martin","given":"Andrew J.","non-dropping-particle":"","parse-names":false,"suffix":""},{"dropping-particle":"","family":"Collie","given":"Rebecca J.","non-dropping-particle":"","parse-names":false,"suffix":""},{"dropping-particle":"","family":"Burns","given":"Emma C.","non-dropping-particle":"","parse-names":false,"suffix":""},{"dropping-particle":"","family":"Hare","given":"Nicole","non-dropping-particle":"","parse-names":false,"suffix":""},{"dropping-particle":"","family":"Cox","given":"Samuel","non-dropping-particle":"","parse-names":false,"suffix":""},{"dropping-particle":"","family":"Flesken","given":"Anaïd","non-dropping-particle":"","parse-names":false,"suffix":""},{"dropping-particle":"","family":"McCarthy","given":"Ian","non-dropping-particle":"","parse-names":false,"suffix":""}],"container-title":"Journal of Educational Psychology","id":"ITEM-1","issue":"8","issued":{"date-parts":[["2022"]]},"page":"1931-1949","title":"Academic Buoyancy in High School: A Cross-Lagged Multilevel Modeling Approach Exploring Reciprocal Effects With Perceived School Support, Motivation, and Engagement","type":"article-journal","volume":"114"},"uris":["http://www.mendeley.com/documents/?uuid=f68cc33f-bc24-4265-8d56-b94c5b1b0a6d"]}],"mendeley":{"formattedCitation":"(Bostwick et al., 2022)","plainTextFormattedCitation":"(Bostwick et al., 2022)","previouslyFormattedCitation":"[16]"},"properties":{"noteIndex":0},"schema":"https://github.com/citation-style-language/schema/raw/master/csl-citation.json"}</w:instrText>
      </w:r>
      <w:r w:rsidR="009F2844">
        <w:rPr>
          <w:lang w:val="en-US"/>
        </w:rPr>
        <w:fldChar w:fldCharType="separate"/>
      </w:r>
      <w:r w:rsidR="00F8707E" w:rsidRPr="00F8707E">
        <w:rPr>
          <w:lang w:val="en-US"/>
        </w:rPr>
        <w:t>(Bostwick et al., 2022)</w:t>
      </w:r>
      <w:r w:rsidR="009F2844">
        <w:rPr>
          <w:lang w:val="en-US"/>
        </w:rPr>
        <w:fldChar w:fldCharType="end"/>
      </w:r>
      <w:r w:rsidRPr="00550B85">
        <w:t>.</w:t>
      </w:r>
    </w:p>
    <w:p w:rsidR="00BC1C24" w:rsidRPr="00550B85" w:rsidRDefault="00BC1C24" w:rsidP="00BC1C24">
      <w:pPr>
        <w:ind w:firstLine="564"/>
        <w:jc w:val="both"/>
      </w:pPr>
      <w:r w:rsidRPr="00550B85">
        <w:t xml:space="preserve">Secara sederhana </w:t>
      </w:r>
      <w:r w:rsidRPr="00550B85">
        <w:rPr>
          <w:i/>
        </w:rPr>
        <w:t>academic buoyancy</w:t>
      </w:r>
      <w:r w:rsidRPr="00550B85">
        <w:t xml:space="preserve"> dikatakan menjadi salah satu faktor yang mempengaruhi </w:t>
      </w:r>
      <w:r w:rsidRPr="00550B85">
        <w:rPr>
          <w:i/>
        </w:rPr>
        <w:t xml:space="preserve">school adjustment </w:t>
      </w:r>
      <w:r w:rsidRPr="00550B85">
        <w:t xml:space="preserve">karena </w:t>
      </w:r>
      <w:r w:rsidRPr="00550B85">
        <w:rPr>
          <w:i/>
        </w:rPr>
        <w:t>academic buoyancy</w:t>
      </w:r>
      <w:r w:rsidRPr="00550B85">
        <w:t xml:space="preserve"> sendiri merupakan konsep merancang strategi secara sederhana, mengontrol dan memonitor situasi dalam proses belajar. Jika individu memiliki </w:t>
      </w:r>
      <w:r w:rsidRPr="00550B85">
        <w:rPr>
          <w:i/>
        </w:rPr>
        <w:t>academic buoyancy</w:t>
      </w:r>
      <w:r w:rsidRPr="00550B85">
        <w:t xml:space="preserve"> yang baik maka individu tersebut juga memiliki tingkat </w:t>
      </w:r>
      <w:r w:rsidRPr="00550B85">
        <w:rPr>
          <w:i/>
        </w:rPr>
        <w:t xml:space="preserve">school adjustment </w:t>
      </w:r>
      <w:r w:rsidRPr="00550B85">
        <w:t xml:space="preserve">yang baik pula. Sejalan dengan hasil penelitian sebelumnya yang menyatakan bahwa rata-rata mahasiswa mampu dalam mengontrol dan memonitor dirinya dalam proses belajar. karena mahasiswa mampu dalam mengatasi berbagai kesulitan yang menghambat perkembangan dirinya dalam proses pembelajaran disekolah </w:t>
      </w:r>
      <w:r w:rsidR="007A6038">
        <w:fldChar w:fldCharType="begin" w:fldLock="1"/>
      </w:r>
      <w:r w:rsidR="00F8707E">
        <w:instrText>ADDIN CSL_CITATION {"citationItems":[{"id":"ITEM-1","itemData":{"abstract":"Kemampuan seorang individu dalam bertahan pada suatu kondisi yang sulit, mampu secara cepat bangkit dari keterpurukan yang dialami serta mampu beradaptasi secara positif terhadap tekanan dan tuntutan akademik, keadaan ini disebut dengan resiliensi akademik. Mahasiswa dengan resiliensi akademik yang tinggi akan selalu optimis dan berpikiran positif dalam menghadapi kesulitan akademik, tidak mudah putus asa serta mampu keluar dalam masalah yang dihadapinya. Penelitian ini menggunakan metode kuantitatif korelasional. Subjek dalam penelitian ini sebanyak 123 responden terdiri dari 51 laki-laki dan 72 perempuan dengan rentang usia 19-25 tahun. Teknik penentuan sampel yang digunakan adalah stratified random sampling. Metode pengumpulan data dalam penelitian ini yaitu metode angket dan wawancara. Berdasarkan hasil penelitian maka diperoleh data hasil analisis nilai rxy adalah 0.413. Hasil ini menunjukkan bahwa koefisien korelasi bernilaipositif dan berada pada kategori cukup. Nilai koefisiensi korelasi r=0.413 memiliki makna bahwa besar sumbangsih variabel self regulated learning terhadap resiliensi akademik yaitu sebesar 16.56% sedangkan 83.44% sisanya dari variabel lain. Variabel atau faktor-faktor tersebut antara lain kemampuan kognitif mahasiswa, self efficacy, self esteem, karakteristik mahasiswa, komunitas, lingkungan dan support sosial. Dengan demikian diperoleh kesimpulan bahwa ada hubungan self regulated learning dengan resiliensi akademik mahasiswa tahun akademik 2020.","author":[{"dropping-particle":"","family":"Saufi","given":"Moch","non-dropping-particle":"","parse-names":false,"suffix":""},{"dropping-particle":"","family":"Budiono","given":"Arifin Nur","non-dropping-particle":"","parse-names":false,"suffix":""},{"dropping-particle":"","family":"Mutakin","given":"Fakhruddin","non-dropping-particle":"","parse-names":false,"suffix":""}],"container-title":"Jurnal Consulenza:Jurnal Bimbingan Konseling dan Psikologi","id":"ITEM-1","issue":"1","issued":{"date-parts":[["2022"]]},"page":"67-75","title":"Korelasi Self Regulated Learning Dengan Resiliensi Akademik Mahasiswa","type":"article-journal","volume":"5"},"uris":["http://www.mendeley.com/documents/?uuid=92b16638-be60-44f8-af18-6814cc09f434"]}],"mendeley":{"formattedCitation":"(Saufi et al., 2022)","plainTextFormattedCitation":"(Saufi et al., 2022)","previouslyFormattedCitation":"[17]"},"properties":{"noteIndex":0},"schema":"https://github.com/citation-style-language/schema/raw/master/csl-citation.json"}</w:instrText>
      </w:r>
      <w:r w:rsidR="007A6038">
        <w:fldChar w:fldCharType="separate"/>
      </w:r>
      <w:r w:rsidR="00F8707E" w:rsidRPr="00F8707E">
        <w:t>(Saufi et al., 2022)</w:t>
      </w:r>
      <w:r w:rsidR="007A6038">
        <w:fldChar w:fldCharType="end"/>
      </w:r>
    </w:p>
    <w:p w:rsidR="00BC1C24" w:rsidRDefault="00BC1C24" w:rsidP="00BC1C24">
      <w:pPr>
        <w:spacing w:after="240"/>
        <w:jc w:val="both"/>
        <w:rPr>
          <w:color w:val="111111"/>
          <w:shd w:val="clear" w:color="auto" w:fill="FFFFFF"/>
        </w:rPr>
      </w:pPr>
      <w:r w:rsidRPr="00550B85">
        <w:rPr>
          <w:rFonts w:eastAsia="Times New Roman"/>
          <w:color w:val="000000"/>
        </w:rPr>
        <w:t xml:space="preserve">Sehingga hal tersebut menjadi tujuan peneliti untuk </w:t>
      </w:r>
      <w:r w:rsidRPr="00550B85">
        <w:rPr>
          <w:color w:val="111111"/>
          <w:shd w:val="clear" w:color="auto" w:fill="FFFFFF"/>
        </w:rPr>
        <w:t>mengetahui adakah pengaruh regulasi diri pembelajaran (</w:t>
      </w:r>
      <w:r w:rsidRPr="00550B85">
        <w:rPr>
          <w:i/>
          <w:color w:val="111111"/>
          <w:shd w:val="clear" w:color="auto" w:fill="FFFFFF"/>
        </w:rPr>
        <w:t xml:space="preserve">self-regulated learning) </w:t>
      </w:r>
      <w:r w:rsidRPr="00550B85">
        <w:rPr>
          <w:color w:val="111111"/>
          <w:shd w:val="clear" w:color="auto" w:fill="FFFFFF"/>
        </w:rPr>
        <w:t xml:space="preserve">dan </w:t>
      </w:r>
      <w:r w:rsidRPr="00550B85">
        <w:rPr>
          <w:i/>
          <w:color w:val="111111"/>
          <w:shd w:val="clear" w:color="auto" w:fill="FFFFFF"/>
        </w:rPr>
        <w:t>academic buoyancy</w:t>
      </w:r>
      <w:r w:rsidRPr="00550B85">
        <w:rPr>
          <w:color w:val="111111"/>
          <w:shd w:val="clear" w:color="auto" w:fill="FFFFFF"/>
        </w:rPr>
        <w:t xml:space="preserve"> terhadap penyesuaian diri di lingkungan sekolah (</w:t>
      </w:r>
      <w:r w:rsidRPr="00550B85">
        <w:rPr>
          <w:i/>
          <w:color w:val="111111"/>
          <w:shd w:val="clear" w:color="auto" w:fill="FFFFFF"/>
        </w:rPr>
        <w:t>school adjustment</w:t>
      </w:r>
      <w:r w:rsidRPr="00550B85">
        <w:rPr>
          <w:color w:val="111111"/>
          <w:shd w:val="clear" w:color="auto" w:fill="FFFFFF"/>
        </w:rPr>
        <w:t xml:space="preserve">) pada santri pondok pesantren An-nur Tanggulangin, baik secara bersamaan atau mayor (X1, X2 </w:t>
      </w:r>
      <w:r w:rsidRPr="00550B85">
        <w:rPr>
          <w:color w:val="111111"/>
          <w:shd w:val="clear" w:color="auto" w:fill="FFFFFF"/>
        </w:rPr>
        <w:sym w:font="Symbol" w:char="F0AE"/>
      </w:r>
      <w:r w:rsidRPr="00550B85">
        <w:rPr>
          <w:color w:val="111111"/>
          <w:shd w:val="clear" w:color="auto" w:fill="FFFFFF"/>
        </w:rPr>
        <w:t xml:space="preserve"> Y) ataupun secara terpisah atau minor (X1 </w:t>
      </w:r>
      <w:r w:rsidRPr="00550B85">
        <w:rPr>
          <w:color w:val="111111"/>
          <w:shd w:val="clear" w:color="auto" w:fill="FFFFFF"/>
        </w:rPr>
        <w:sym w:font="Symbol" w:char="F0AE"/>
      </w:r>
      <w:r w:rsidRPr="00550B85">
        <w:rPr>
          <w:color w:val="111111"/>
          <w:shd w:val="clear" w:color="auto" w:fill="FFFFFF"/>
        </w:rPr>
        <w:t xml:space="preserve"> Y dan X2 </w:t>
      </w:r>
      <w:r w:rsidRPr="00550B85">
        <w:rPr>
          <w:color w:val="111111"/>
          <w:shd w:val="clear" w:color="auto" w:fill="FFFFFF"/>
        </w:rPr>
        <w:sym w:font="Symbol" w:char="F0AE"/>
      </w:r>
      <w:r w:rsidRPr="00550B85">
        <w:rPr>
          <w:color w:val="111111"/>
          <w:shd w:val="clear" w:color="auto" w:fill="FFFFFF"/>
        </w:rPr>
        <w:t xml:space="preserve"> Y). </w:t>
      </w:r>
    </w:p>
    <w:p w:rsidR="0037095C" w:rsidRPr="004D7911" w:rsidRDefault="0037095C" w:rsidP="00BC1C24">
      <w:pPr>
        <w:jc w:val="both"/>
        <w:rPr>
          <w:b/>
        </w:rPr>
      </w:pPr>
      <w:r w:rsidRPr="004D7911">
        <w:rPr>
          <w:b/>
        </w:rPr>
        <w:t>METODE</w:t>
      </w:r>
    </w:p>
    <w:p w:rsidR="00BC1C24" w:rsidRPr="00550B85" w:rsidRDefault="00BC1C24" w:rsidP="00BC1C24">
      <w:pPr>
        <w:spacing w:after="240"/>
        <w:ind w:firstLine="567"/>
        <w:jc w:val="both"/>
      </w:pPr>
      <w:r w:rsidRPr="00550B85">
        <w:t xml:space="preserve">Penelitian ini tergolong ke dalam penelitian kuantitatif. Desain penelitian ini menggunakan desain </w:t>
      </w:r>
      <w:r w:rsidRPr="00550B85">
        <w:rPr>
          <w:i/>
        </w:rPr>
        <w:t>cross-sectional</w:t>
      </w:r>
      <w:r w:rsidRPr="00550B85">
        <w:t xml:space="preserve"> yang hanya membutuhkan satu kali pengambilan data. Variabel yang di gunakan oleh peneliti berjumlah 2 variabel bebas (X) dan 1 variabel terikat (Y), yaitu </w:t>
      </w:r>
      <w:r w:rsidRPr="00550B85">
        <w:rPr>
          <w:i/>
        </w:rPr>
        <w:t>self-regulated learning</w:t>
      </w:r>
      <w:r w:rsidRPr="00550B85">
        <w:t xml:space="preserve"> (X1), </w:t>
      </w:r>
      <w:r w:rsidRPr="00550B85">
        <w:rPr>
          <w:i/>
        </w:rPr>
        <w:t>academic bouyancy</w:t>
      </w:r>
      <w:r w:rsidRPr="00550B85">
        <w:t xml:space="preserve"> (X2) dan </w:t>
      </w:r>
      <w:r w:rsidRPr="00550B85">
        <w:rPr>
          <w:i/>
        </w:rPr>
        <w:t>school adjustmen</w:t>
      </w:r>
      <w:r w:rsidRPr="00550B85">
        <w:t xml:space="preserve"> (variabel terikat atau Y). Teknik analisis data pada penelitian ini menggunakan regresi linier berganda dengan bantuan </w:t>
      </w:r>
      <w:r w:rsidRPr="00550B85">
        <w:rPr>
          <w:i/>
        </w:rPr>
        <w:t>SPSS 26.0</w:t>
      </w:r>
      <w:r w:rsidRPr="00550B85">
        <w:t xml:space="preserve">. Tujuan dari analisis ini yaitu untuk menguji peranan </w:t>
      </w:r>
      <w:r w:rsidRPr="00550B85">
        <w:rPr>
          <w:i/>
        </w:rPr>
        <w:t xml:space="preserve">self-regulated learning </w:t>
      </w:r>
      <w:r w:rsidRPr="00550B85">
        <w:t xml:space="preserve">dan </w:t>
      </w:r>
      <w:r w:rsidRPr="00550B85">
        <w:rPr>
          <w:i/>
        </w:rPr>
        <w:t xml:space="preserve">academic bouyancy </w:t>
      </w:r>
      <w:r w:rsidRPr="00550B85">
        <w:t xml:space="preserve">terhadap </w:t>
      </w:r>
      <w:r w:rsidRPr="00550B85">
        <w:rPr>
          <w:i/>
        </w:rPr>
        <w:t xml:space="preserve">school adjustment </w:t>
      </w:r>
      <w:r w:rsidRPr="00550B85">
        <w:t>pada santri pondok pesantren An-Nur Tanggulangin Sidoarjo.</w:t>
      </w:r>
    </w:p>
    <w:p w:rsidR="00BC1C24" w:rsidRPr="00550B85" w:rsidRDefault="00BC1C24" w:rsidP="00BC1C24">
      <w:pPr>
        <w:ind w:hanging="2"/>
        <w:jc w:val="both"/>
        <w:rPr>
          <w:b/>
        </w:rPr>
      </w:pPr>
      <w:r w:rsidRPr="00550B85">
        <w:rPr>
          <w:b/>
        </w:rPr>
        <w:t>Populasi dan Sampel</w:t>
      </w:r>
    </w:p>
    <w:p w:rsidR="00BC1C24" w:rsidRPr="00550B85" w:rsidRDefault="00BC1C24" w:rsidP="00BC1C24">
      <w:pPr>
        <w:spacing w:after="240"/>
        <w:ind w:firstLine="567"/>
        <w:jc w:val="both"/>
        <w:rPr>
          <w:b/>
        </w:rPr>
      </w:pPr>
      <w:r w:rsidRPr="00550B85">
        <w:t xml:space="preserve">Populasi dalam penelitihan ini adalah seluruh santri yang ada di pondok pesantren An-Nur yang berjumlah 195 santri, Teknik pengambilan sampel dalam penelitian ini menggunakan </w:t>
      </w:r>
      <w:r w:rsidRPr="00550B85">
        <w:rPr>
          <w:i/>
        </w:rPr>
        <w:t>non-probability sampling</w:t>
      </w:r>
      <w:r w:rsidRPr="00550B85">
        <w:t xml:space="preserve">, yaitu subjek yang dipilih adalah subjek yang berkaitan dengan topik penelitian. Teknik </w:t>
      </w:r>
      <w:r w:rsidRPr="00550B85">
        <w:rPr>
          <w:i/>
        </w:rPr>
        <w:t>non-probability sampling</w:t>
      </w:r>
      <w:r w:rsidRPr="00550B85">
        <w:t xml:space="preserve"> yang digunakan dalam penelitian ini menggunakan sampling jenuh yaitu teknik penentuan sampel bila semua anggota populasi digunakan sebagai sampel</w:t>
      </w:r>
      <w:r w:rsidR="007A6038">
        <w:rPr>
          <w:color w:val="000000"/>
          <w:lang w:val="en-US"/>
        </w:rPr>
        <w:t xml:space="preserve"> </w:t>
      </w:r>
      <w:r w:rsidR="007A6038">
        <w:rPr>
          <w:color w:val="000000"/>
          <w:lang w:val="en-US"/>
        </w:rPr>
        <w:fldChar w:fldCharType="begin" w:fldLock="1"/>
      </w:r>
      <w:r w:rsidR="00F8707E">
        <w:rPr>
          <w:color w:val="000000"/>
          <w:lang w:val="en-US"/>
        </w:rPr>
        <w:instrText>ADDIN CSL_CITATION {"citationItems":[{"id":"ITEM-1","itemData":{"abstract":"Media pembelajaran dan hasil belajar merupakan bagian yang saling terkait dalam pembelajaran. Hasil belajar siswa dipengaruhi oleh beberapa faktor, antara lain yaitu media pembelajaran. Hasil belajar akan meningkat bila guru dalam proses pembelajaran menggunakan media pembelajaran. Dalam hal ini media pembelajaran yang dimaksud adalah media pembelajaran buku pop-up. Tujuan dari penelitian ini adalah untuk mengetahui apakah terdapat pengaruh dari penggunaan media pembelajaran buku pop-up terhadap hasil belajar IPA.Metode yang digunakan adalah kuantitatif eksperimen. Data yang telah terkumpul dianalisis menggunakan teknik analisis kuantitatif. PopulasiÂ dan sample penelitian ini adalah siswa kelas IV yang berjumlah 22 siswa. Teknik pengumpulan data menggunakan dokumentasi untuk variabel media pembelajaran kemudian menggunakan tes untuk variabel hasil belajar. Setelah dilakukan analisis data hasil penelitian ini menunjukkan bahwa : 1)Pengaruh penggunaan media pembelajaran buku pop-up (X) terhadap hasil belajar (Y) siswa kelas IV SDN 1 Gondosuli sangat signifikaan. Dengan hasil Â &gt; Â yaitu 2.277 &gt; 2.021 dan niali Sig.(2-tailed) &lt; 0,05 yaitu 0,035 &lt; 0,05. Â Kata Kunci: Buku Pop-up, Hasil belajar IPA, Media","author":[{"dropping-particle":"","family":"Sari","given":"Eka Yuliana","non-dropping-particle":"","parse-names":false,"suffix":""}],"container-title":"Edustream : Jurnal Pendidikan Dasar","id":"ITEM-1","issue":"2","issued":{"date-parts":[["2019"]]},"page":"16-22","title":"Pengaruh penggunan media pembelajaran buku pop-up terhadap hasil belajar siswa kelas iv sdn 2 bendungan kecamatan gondang kabupaten tulungagung","type":"article-journal","volume":"3"},"uris":["http://www.mendeley.com/documents/?uuid=41fc768f-ebb5-429b-8466-74fbc387b977"]}],"mendeley":{"formattedCitation":"(Sari, 2019)","plainTextFormattedCitation":"(Sari, 2019)","previouslyFormattedCitation":"[18]"},"properties":{"noteIndex":0},"schema":"https://github.com/citation-style-language/schema/raw/master/csl-citation.json"}</w:instrText>
      </w:r>
      <w:r w:rsidR="007A6038">
        <w:rPr>
          <w:color w:val="000000"/>
          <w:lang w:val="en-US"/>
        </w:rPr>
        <w:fldChar w:fldCharType="separate"/>
      </w:r>
      <w:r w:rsidR="00F8707E" w:rsidRPr="00F8707E">
        <w:rPr>
          <w:color w:val="000000"/>
          <w:lang w:val="en-US"/>
        </w:rPr>
        <w:t>(Sari, 2019)</w:t>
      </w:r>
      <w:r w:rsidR="007A6038">
        <w:rPr>
          <w:color w:val="000000"/>
          <w:lang w:val="en-US"/>
        </w:rPr>
        <w:fldChar w:fldCharType="end"/>
      </w:r>
      <w:r w:rsidRPr="00550B85">
        <w:t>.</w:t>
      </w:r>
    </w:p>
    <w:p w:rsidR="00BC1C24" w:rsidRPr="00550B85" w:rsidRDefault="00BC1C24" w:rsidP="00BC1C24">
      <w:pPr>
        <w:ind w:hanging="2"/>
        <w:jc w:val="both"/>
        <w:rPr>
          <w:rFonts w:eastAsia="Times New Roman"/>
          <w:b/>
        </w:rPr>
      </w:pPr>
      <w:r w:rsidRPr="00550B85">
        <w:rPr>
          <w:rFonts w:eastAsia="Times New Roman"/>
          <w:b/>
        </w:rPr>
        <w:t>Instrument Penelitian</w:t>
      </w:r>
    </w:p>
    <w:p w:rsidR="00BC1C24" w:rsidRPr="00550B85" w:rsidRDefault="00BC1C24" w:rsidP="00BC1C24">
      <w:pPr>
        <w:ind w:firstLine="567"/>
        <w:jc w:val="both"/>
      </w:pPr>
      <w:r w:rsidRPr="00550B85">
        <w:t xml:space="preserve">Teknik pengumpulan data menggunakan 3 skala psikologi yakni </w:t>
      </w:r>
      <w:r w:rsidRPr="00550B85">
        <w:rPr>
          <w:i/>
        </w:rPr>
        <w:t>school adjustment</w:t>
      </w:r>
      <w:r w:rsidRPr="00550B85">
        <w:t xml:space="preserve">, </w:t>
      </w:r>
      <w:r w:rsidRPr="00550B85">
        <w:rPr>
          <w:i/>
        </w:rPr>
        <w:t xml:space="preserve">self-regulated learning </w:t>
      </w:r>
      <w:r w:rsidRPr="00550B85">
        <w:t xml:space="preserve">dan </w:t>
      </w:r>
      <w:r w:rsidRPr="00550B85">
        <w:rPr>
          <w:i/>
        </w:rPr>
        <w:t>academic bouyabcy.</w:t>
      </w:r>
    </w:p>
    <w:p w:rsidR="00BC1C24" w:rsidRPr="00550B85" w:rsidRDefault="00BC1C24" w:rsidP="00BC1C24">
      <w:pPr>
        <w:ind w:hanging="2"/>
        <w:jc w:val="both"/>
      </w:pPr>
      <w:r w:rsidRPr="00550B85">
        <w:tab/>
      </w:r>
      <w:r w:rsidRPr="00550B85">
        <w:tab/>
        <w:t xml:space="preserve">Skala </w:t>
      </w:r>
      <w:r w:rsidRPr="00550B85">
        <w:rPr>
          <w:i/>
        </w:rPr>
        <w:t>School adjustment</w:t>
      </w:r>
      <w:r w:rsidRPr="00550B85">
        <w:t xml:space="preserve"> yang di adaptasi dari penelitian Soo J</w:t>
      </w:r>
      <w:r w:rsidR="00A62A2C">
        <w:t>ung (2018) Skala ini memiliki 30</w:t>
      </w:r>
      <w:r w:rsidRPr="00550B85">
        <w:t xml:space="preserve"> item yang mewakili 4 aspek </w:t>
      </w:r>
      <w:r w:rsidRPr="00550B85">
        <w:rPr>
          <w:i/>
        </w:rPr>
        <w:t>School adjustment</w:t>
      </w:r>
      <w:r w:rsidRPr="00550B85">
        <w:t xml:space="preserve"> yakni Penyesuaian diri terhadap guru (contoh: Saya selalu senang hati menyapa ustadz /ustadzah saya.), Penyesuaian diri terhadap mata pelajaran (contoh: Saya berpartisipasi aktif dalam tugas-tugas di kelas.), Penyesuaian diri terhdap teman sebaya (contoh: </w:t>
      </w:r>
      <w:r w:rsidRPr="00550B85">
        <w:rPr>
          <w:lang w:val="id"/>
        </w:rPr>
        <w:t>Saya sering bergaul dengan teman-teman saya di sekolah</w:t>
      </w:r>
      <w:r w:rsidRPr="00550B85">
        <w:t xml:space="preserve"> dan di asrama) dan Penyesuaian diri terhadap lingkungan sekolah (contoh: </w:t>
      </w:r>
      <w:r w:rsidRPr="00550B85">
        <w:rPr>
          <w:lang w:val="id"/>
        </w:rPr>
        <w:t>Saya merasa nyaman ketika saya pergi ke pesantren</w:t>
      </w:r>
      <w:r w:rsidRPr="00550B85">
        <w:t xml:space="preserve">.) </w:t>
      </w:r>
      <w:sdt>
        <w:sdtPr>
          <w:tag w:val="MENDELEY_CITATION_v3_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"/>
          <w:id w:val="621734163"/>
          <w:placeholder>
            <w:docPart w:val="B5F4A2148F0941FE8460C97D8D094887"/>
          </w:placeholder>
        </w:sdtPr>
        <w:sdtEndPr/>
        <w:sdtContent>
          <w:r>
            <w:rPr>
              <w:rFonts w:eastAsia="Times New Roman"/>
            </w:rPr>
            <w:t>(Joe &amp; Doh, 2018)</w:t>
          </w:r>
        </w:sdtContent>
      </w:sdt>
      <w:r w:rsidRPr="00550B85">
        <w:t>.</w:t>
      </w:r>
      <w:r w:rsidRPr="00550B85">
        <w:rPr>
          <w:i/>
        </w:rPr>
        <w:t xml:space="preserve">  </w:t>
      </w:r>
      <w:r w:rsidRPr="00550B85">
        <w:t xml:space="preserve">Skala ini memiliki rentang 1 hinga 5 poin jawaban dengan 1 = sangat tidak setuju 2 = tidak setuju 3 = agak </w:t>
      </w:r>
      <w:r w:rsidRPr="00550B85">
        <w:lastRenderedPageBreak/>
        <w:t>setuju 4 = setuju dan 5 = sangat setuju. Hasil analisis it</w:t>
      </w:r>
      <w:r w:rsidR="00517E64">
        <w:t>em menunjukkan bahwa terdapat 27</w:t>
      </w:r>
      <w:r w:rsidRPr="00550B85">
        <w:t xml:space="preserve"> item valid dengan </w:t>
      </w:r>
      <w:r w:rsidRPr="00550B85">
        <w:rPr>
          <w:i/>
        </w:rPr>
        <w:t>cronbach alpha</w:t>
      </w:r>
      <w:r w:rsidRPr="00550B85">
        <w:t xml:space="preserve"> (α) = 0,874 menjadi 0,918.</w:t>
      </w:r>
    </w:p>
    <w:p w:rsidR="00BC1C24" w:rsidRPr="00550B85" w:rsidRDefault="00BC1C24" w:rsidP="00BC1C24">
      <w:pPr>
        <w:ind w:hanging="2"/>
        <w:jc w:val="both"/>
      </w:pPr>
      <w:r w:rsidRPr="00550B85">
        <w:tab/>
      </w:r>
      <w:r w:rsidRPr="00550B85">
        <w:tab/>
        <w:t xml:space="preserve">Sedangkan skala </w:t>
      </w:r>
      <w:r w:rsidRPr="00550B85">
        <w:rPr>
          <w:i/>
        </w:rPr>
        <w:t xml:space="preserve">self-regulated learning </w:t>
      </w:r>
      <w:r w:rsidRPr="00550B85">
        <w:t xml:space="preserve">menggunakan skala </w:t>
      </w:r>
      <w:r w:rsidR="002E049A">
        <w:rPr>
          <w:lang w:val="en-US"/>
        </w:rPr>
        <w:t xml:space="preserve">adaptasi </w:t>
      </w:r>
      <w:r w:rsidR="002E049A">
        <w:t>Short Self-Regulation Questionnaire (SSRQ) oleh Carey</w:t>
      </w:r>
      <w:r w:rsidR="00BB434A">
        <w:rPr>
          <w:lang w:val="en-US"/>
        </w:rPr>
        <w:t>, Neal dan Collins (2004)</w:t>
      </w:r>
      <w:r w:rsidR="00665A7B">
        <w:t xml:space="preserve"> berjumlah 22</w:t>
      </w:r>
      <w:r w:rsidRPr="00550B85">
        <w:t xml:space="preserve"> item yang mengacu</w:t>
      </w:r>
      <w:r w:rsidR="002E049A">
        <w:rPr>
          <w:lang w:val="en-US"/>
        </w:rPr>
        <w:t xml:space="preserve"> teori</w:t>
      </w:r>
      <w:r w:rsidRPr="00550B85">
        <w:t xml:space="preserve"> </w:t>
      </w:r>
      <w:r w:rsidR="00447AD9">
        <w:t>yang dikembangkan dari self-regulation questionnaire oleh Miller dan Brown (1991)</w:t>
      </w:r>
      <w:r w:rsidRPr="00550B85">
        <w:t xml:space="preserve">. Pada teori nya </w:t>
      </w:r>
      <w:r w:rsidR="00BB434A">
        <w:rPr>
          <w:lang w:val="en-US"/>
        </w:rPr>
        <w:t>Carey</w:t>
      </w:r>
      <w:r w:rsidR="002E049A">
        <w:rPr>
          <w:lang w:val="en-US"/>
        </w:rPr>
        <w:t xml:space="preserve"> </w:t>
      </w:r>
      <w:r w:rsidRPr="00550B85">
        <w:t xml:space="preserve">menyatakan, bahwa </w:t>
      </w:r>
      <w:r w:rsidRPr="00550B85">
        <w:rPr>
          <w:i/>
        </w:rPr>
        <w:t>self-regulated learning</w:t>
      </w:r>
      <w:r w:rsidRPr="00550B85">
        <w:t xml:space="preserve"> terdiri dari </w:t>
      </w:r>
      <w:r w:rsidR="00BB434A">
        <w:rPr>
          <w:color w:val="000000"/>
          <w:lang w:val="en-US"/>
        </w:rPr>
        <w:t xml:space="preserve">5 aspek yakni </w:t>
      </w:r>
      <w:r w:rsidR="00BB434A">
        <w:rPr>
          <w:i/>
          <w:color w:val="000000"/>
          <w:lang w:val="en-US"/>
        </w:rPr>
        <w:t xml:space="preserve">goal attainment </w:t>
      </w:r>
      <w:r w:rsidR="00BB434A">
        <w:rPr>
          <w:color w:val="000000"/>
          <w:lang w:val="en-US"/>
        </w:rPr>
        <w:t xml:space="preserve">(contoh: </w:t>
      </w:r>
      <w:r w:rsidR="00BB434A" w:rsidRPr="00CD20DF">
        <w:t xml:space="preserve">Saya menetapkan tujuan untuk diri saya sendiri dan </w:t>
      </w:r>
      <w:r w:rsidR="00BB434A">
        <w:t>memantau kemajuan saya</w:t>
      </w:r>
      <w:r w:rsidR="00BB434A">
        <w:rPr>
          <w:lang w:val="en-US"/>
        </w:rPr>
        <w:t>)</w:t>
      </w:r>
      <w:r w:rsidR="00BB434A">
        <w:rPr>
          <w:i/>
          <w:color w:val="000000"/>
          <w:lang w:val="en-US"/>
        </w:rPr>
        <w:t xml:space="preserve">, mindfulness </w:t>
      </w:r>
      <w:r w:rsidR="00BB434A">
        <w:rPr>
          <w:color w:val="000000"/>
          <w:lang w:val="en-US"/>
        </w:rPr>
        <w:t xml:space="preserve">(contoh: </w:t>
      </w:r>
      <w:r w:rsidR="00BB434A" w:rsidRPr="00CD20DF">
        <w:t>Saya cepat menyerah</w:t>
      </w:r>
      <w:r w:rsidR="00BB434A">
        <w:rPr>
          <w:lang w:val="en-US"/>
        </w:rPr>
        <w:t>)</w:t>
      </w:r>
      <w:r w:rsidR="00BB434A">
        <w:rPr>
          <w:i/>
          <w:color w:val="000000"/>
          <w:lang w:val="en-US"/>
        </w:rPr>
        <w:t xml:space="preserve">, adjustment </w:t>
      </w:r>
      <w:r w:rsidR="00BB434A">
        <w:rPr>
          <w:color w:val="000000"/>
          <w:lang w:val="en-US"/>
        </w:rPr>
        <w:t xml:space="preserve">(contoh: </w:t>
      </w:r>
      <w:r w:rsidR="00BB434A" w:rsidRPr="00CD20DF">
        <w:t xml:space="preserve">Saya belajar dari </w:t>
      </w:r>
      <w:r w:rsidR="00BB434A">
        <w:t>kesalahan saya</w:t>
      </w:r>
      <w:r w:rsidR="00BB434A">
        <w:rPr>
          <w:lang w:val="en-US"/>
        </w:rPr>
        <w:t>)</w:t>
      </w:r>
      <w:r w:rsidR="00BB434A">
        <w:rPr>
          <w:i/>
          <w:color w:val="000000"/>
          <w:lang w:val="en-US"/>
        </w:rPr>
        <w:t xml:space="preserve">, proactiveness </w:t>
      </w:r>
      <w:r w:rsidR="00BB434A">
        <w:rPr>
          <w:color w:val="000000"/>
          <w:lang w:val="en-US"/>
        </w:rPr>
        <w:t xml:space="preserve">(contoh: </w:t>
      </w:r>
      <w:r w:rsidR="00BB434A" w:rsidRPr="00CD20DF">
        <w:t>Saya biasanya dapat menemukan beberapa alternative pemecahan masalah ket</w:t>
      </w:r>
      <w:r w:rsidR="00BB434A">
        <w:t>ika saya ingin mengubah sesuatu</w:t>
      </w:r>
      <w:r w:rsidR="00BB434A">
        <w:rPr>
          <w:lang w:val="en-US"/>
        </w:rPr>
        <w:t>)</w:t>
      </w:r>
      <w:r w:rsidRPr="00550B85">
        <w:t>. Skala ini memiliki rentang pilihan 1 hingga 4 poin dengan 1 = tidak setuju 2 = agak setuju 3 = setuju 4 = sangat setuju. Ha</w:t>
      </w:r>
      <w:r w:rsidR="00665A7B">
        <w:t>sil analisis item menunjukkan 16</w:t>
      </w:r>
      <w:r w:rsidRPr="00550B85">
        <w:t xml:space="preserve"> item valid dengan </w:t>
      </w:r>
      <w:r w:rsidRPr="00550B85">
        <w:rPr>
          <w:i/>
        </w:rPr>
        <w:t>cronbach alpha</w:t>
      </w:r>
      <w:r w:rsidRPr="00550B85">
        <w:t xml:space="preserve"> (α) = 0,725 menjadi 0,815. </w:t>
      </w:r>
    </w:p>
    <w:p w:rsidR="00BC1C24" w:rsidRPr="00550B85" w:rsidRDefault="00BC1C24" w:rsidP="00BC1C24">
      <w:pPr>
        <w:ind w:hanging="2"/>
        <w:jc w:val="both"/>
        <w:rPr>
          <w:i/>
        </w:rPr>
      </w:pPr>
      <w:r w:rsidRPr="00550B85">
        <w:tab/>
      </w:r>
      <w:r w:rsidRPr="00550B85">
        <w:tab/>
        <w:t xml:space="preserve">Dan untuk skala </w:t>
      </w:r>
      <w:r w:rsidRPr="00550B85">
        <w:rPr>
          <w:i/>
        </w:rPr>
        <w:t xml:space="preserve">academic bouyanci, </w:t>
      </w:r>
      <w:r w:rsidRPr="00550B85">
        <w:t xml:space="preserve">peneliti menggunakan alat ukur adaptasi dari teori Martin and Marsh (2003). Terdapat 4 dimensi </w:t>
      </w:r>
      <w:r w:rsidRPr="00550B85">
        <w:rPr>
          <w:i/>
        </w:rPr>
        <w:t>academic buoyancy</w:t>
      </w:r>
      <w:r w:rsidRPr="00550B85">
        <w:t xml:space="preserve"> yakni </w:t>
      </w:r>
      <w:r w:rsidRPr="00550B85">
        <w:rPr>
          <w:i/>
        </w:rPr>
        <w:t xml:space="preserve">confidence </w:t>
      </w:r>
      <w:r w:rsidRPr="00550B85">
        <w:t>(contoh: Cara yang saya gunakan efektif dalam mengatasi hal-hal yang mengganggu aktivitas akademik di sekolah)</w:t>
      </w:r>
      <w:r w:rsidRPr="00550B85">
        <w:rPr>
          <w:i/>
        </w:rPr>
        <w:t xml:space="preserve">, control </w:t>
      </w:r>
      <w:r w:rsidRPr="00550B85">
        <w:t>(contoh: Saya tidak membiarkan tekanan dari sekolah mempengaruhi diri saya)</w:t>
      </w:r>
      <w:r w:rsidRPr="00550B85">
        <w:rPr>
          <w:i/>
        </w:rPr>
        <w:t xml:space="preserve">, composure </w:t>
      </w:r>
      <w:r w:rsidRPr="00550B85">
        <w:t>(contoh: Saya mampu mengatasi tekanan dari tugas-tugas sekolah)</w:t>
      </w:r>
      <w:r w:rsidRPr="00550B85">
        <w:rPr>
          <w:i/>
        </w:rPr>
        <w:t xml:space="preserve">, </w:t>
      </w:r>
      <w:r w:rsidRPr="00550B85">
        <w:t>dan</w:t>
      </w:r>
      <w:r w:rsidRPr="00550B85">
        <w:rPr>
          <w:i/>
        </w:rPr>
        <w:t xml:space="preserve"> commitment </w:t>
      </w:r>
      <w:r w:rsidRPr="00550B85">
        <w:t>(contoh: Saya tidak akan membiarkan nilai yang buruk, mempengaruhi kepercayaan diri saya)</w:t>
      </w:r>
      <w:r w:rsidR="007A6038">
        <w:rPr>
          <w:color w:val="000000"/>
          <w:lang w:val="en-US"/>
        </w:rPr>
        <w:t xml:space="preserve"> </w:t>
      </w:r>
      <w:r w:rsidR="007A6038">
        <w:rPr>
          <w:color w:val="000000"/>
          <w:lang w:val="en-US"/>
        </w:rPr>
        <w:fldChar w:fldCharType="begin" w:fldLock="1"/>
      </w:r>
      <w:r w:rsidR="00F8707E">
        <w:rPr>
          <w:color w:val="000000"/>
          <w:lang w:val="en-US"/>
        </w:rPr>
        <w:instrText>ADDIN CSL_CITATION {"citationItems":[{"id":"ITEM-1","itemData":{"abstract":"Penelitian ini bertujuan untuk mengetahui adanya hubungan antara strategi self regulated learning terhadap resisiliensi akademik pada mahasiswa Program Studi Teknik Informatika dan Teknik Elektro Universitas Muhammadiyah Gresik yang bekerja. Tipe penelitian ini adalah korelasional, meggunakan teknik simple random sampling dengan sampel sebanyak 97 subjek.Metode pengumpulan data menggunakan kuisioner dengan skala Likert. Uji validitas item menggunakan validitas isi, sedangkan uji reliabilitas item menggunakan teknik AlphaCronbach. Teknik analisis data menggunakan korelasi spearman rank. Hasil penelitian menunjukkan nilai r = 0,656; p = 0,000 (p&lt;0,05) maka Ha diterima, dapat disimpulkan bahwa terdapat hubungan yang signifikan antara strategi self regulated learning terhadap resiliensi akademik pada mahasiswa Program Studi Teknik Informatika dan Teknik Elektro Universitas Muhammadiyah Gresik yang bekerja. Sumbangan self regulated learning terhadap resiliensi akademik sebesar 43%,sedangkan sisanya 57% dipengaruhi oleh variabel lain yang tidak diteliti. Kata","author":[{"dropping-particle":"","family":"Chasanah","given":"Dwi Uswatun","non-dropping-particle":"","parse-names":false,"suffix":""},{"dropping-particle":"","family":"Rejeki","given":"Asri","non-dropping-particle":"","parse-names":false,"suffix":""},{"dropping-particle":"","family":"Amelasasih","given":"Prianggi","non-dropping-particle":"","parse-names":false,"suffix":""}],"container-title":"Psikosains","id":"ITEM-1","issue":"2","issued":{"date-parts":[["2019"]]},"page":"102-114","title":"Peranan Self Regulated Learningdalam Mempengaruhi Resiliensi Akademik Pada Mahasiswa Program Studi Teknik Informatika Dan Teknik Elektro Universitas Muhammadiyah Gresik Yang Bekerja","type":"article-journal","volume":"14"},"uris":["http://www.mendeley.com/documents/?uuid=93a8c776-19e3-4334-93bc-61e8ef6523e8"]}],"mendeley":{"formattedCitation":"(Chasanah et al., 2019)","plainTextFormattedCitation":"(Chasanah et al., 2019)","previouslyFormattedCitation":"[19]"},"properties":{"noteIndex":0},"schema":"https://github.com/citation-style-language/schema/raw/master/csl-citation.json"}</w:instrText>
      </w:r>
      <w:r w:rsidR="007A6038">
        <w:rPr>
          <w:color w:val="000000"/>
          <w:lang w:val="en-US"/>
        </w:rPr>
        <w:fldChar w:fldCharType="separate"/>
      </w:r>
      <w:r w:rsidR="00F8707E" w:rsidRPr="00F8707E">
        <w:rPr>
          <w:color w:val="000000"/>
          <w:lang w:val="en-US"/>
        </w:rPr>
        <w:t>(Chasanah et al., 2019)</w:t>
      </w:r>
      <w:r w:rsidR="007A6038">
        <w:rPr>
          <w:color w:val="000000"/>
          <w:lang w:val="en-US"/>
        </w:rPr>
        <w:fldChar w:fldCharType="end"/>
      </w:r>
      <w:r w:rsidRPr="00550B85">
        <w:rPr>
          <w:i/>
        </w:rPr>
        <w:t>.</w:t>
      </w:r>
    </w:p>
    <w:p w:rsidR="00BC1C24" w:rsidRPr="00550B85" w:rsidRDefault="00BC1C24" w:rsidP="00BC1C24">
      <w:pPr>
        <w:spacing w:before="240"/>
        <w:rPr>
          <w:b/>
          <w:bCs/>
        </w:rPr>
      </w:pPr>
      <w:r w:rsidRPr="00550B85">
        <w:rPr>
          <w:b/>
          <w:bCs/>
        </w:rPr>
        <w:t>Prosedur Penelitian</w:t>
      </w:r>
    </w:p>
    <w:p w:rsidR="0037095C" w:rsidRPr="004D7911" w:rsidRDefault="00BC1C24" w:rsidP="00BC1C24">
      <w:pPr>
        <w:ind w:firstLine="567"/>
        <w:jc w:val="both"/>
      </w:pPr>
      <w:r w:rsidRPr="00550B85">
        <w:t xml:space="preserve">Sebelum membagikan kuisioner peneliti terlebih dahulu meminta izin kepada pengurus yayasan/pesantren untuk melakukan penelitian di pondok an-nur Tanggulangin. Setelah itu peneliti membagikan kuisionernya kepada seluruh santri. Sebelum mereka mengisi kuisioner peneliti terlebih dahulu menjelaskan bagaimana cara pengisiannya. Setelah itu, para santri mengerjakan kuisioner tersebut secara bersamaan. Teknik analisis data pada penelitian ini menggunakan regresi linier bergandadengan bantuan </w:t>
      </w:r>
      <w:r w:rsidRPr="00550B85">
        <w:rPr>
          <w:i/>
        </w:rPr>
        <w:t>SPSS 26.0</w:t>
      </w:r>
      <w:r w:rsidRPr="00550B85">
        <w:t xml:space="preserve">. Tujuan dari analisis ini yaitu untuk menguji </w:t>
      </w:r>
      <w:r w:rsidRPr="00550B85">
        <w:rPr>
          <w:color w:val="111111"/>
          <w:shd w:val="clear" w:color="auto" w:fill="FFFFFF"/>
        </w:rPr>
        <w:t xml:space="preserve">adanya pengaruh </w:t>
      </w:r>
      <w:r w:rsidRPr="00550B85">
        <w:rPr>
          <w:i/>
          <w:color w:val="111111"/>
          <w:shd w:val="clear" w:color="auto" w:fill="FFFFFF"/>
        </w:rPr>
        <w:t xml:space="preserve">self-regulated learning </w:t>
      </w:r>
      <w:r w:rsidRPr="00550B85">
        <w:rPr>
          <w:color w:val="111111"/>
          <w:shd w:val="clear" w:color="auto" w:fill="FFFFFF"/>
        </w:rPr>
        <w:t xml:space="preserve">dan </w:t>
      </w:r>
      <w:r w:rsidRPr="00550B85">
        <w:rPr>
          <w:i/>
          <w:color w:val="111111"/>
          <w:shd w:val="clear" w:color="auto" w:fill="FFFFFF"/>
        </w:rPr>
        <w:t>academic buoyancy</w:t>
      </w:r>
      <w:r w:rsidRPr="00550B85">
        <w:rPr>
          <w:color w:val="111111"/>
          <w:shd w:val="clear" w:color="auto" w:fill="FFFFFF"/>
        </w:rPr>
        <w:t xml:space="preserve"> terhadap penyesuaian diri di lingkungan sekolah (</w:t>
      </w:r>
      <w:r w:rsidRPr="00550B85">
        <w:rPr>
          <w:i/>
          <w:color w:val="111111"/>
          <w:shd w:val="clear" w:color="auto" w:fill="FFFFFF"/>
        </w:rPr>
        <w:t>school adjustment</w:t>
      </w:r>
      <w:r w:rsidRPr="00550B85">
        <w:rPr>
          <w:color w:val="111111"/>
          <w:shd w:val="clear" w:color="auto" w:fill="FFFFFF"/>
        </w:rPr>
        <w:t>) pada santri pondok pesantren An-nur Tanggulangin Sidoarjo</w:t>
      </w:r>
      <w:r w:rsidRPr="00550B85">
        <w:t>.</w:t>
      </w:r>
    </w:p>
    <w:p w:rsidR="0037095C" w:rsidRPr="004D7911" w:rsidRDefault="0037095C" w:rsidP="0037095C">
      <w:pPr>
        <w:jc w:val="both"/>
      </w:pPr>
    </w:p>
    <w:p w:rsidR="0037095C" w:rsidRPr="004D7911" w:rsidRDefault="0037095C" w:rsidP="0037095C">
      <w:pPr>
        <w:jc w:val="both"/>
        <w:rPr>
          <w:b/>
        </w:rPr>
      </w:pPr>
      <w:r w:rsidRPr="004D7911">
        <w:rPr>
          <w:b/>
        </w:rPr>
        <w:t>HASIL DAN PEMBAHASAN</w:t>
      </w:r>
    </w:p>
    <w:p w:rsidR="00BF6421" w:rsidRPr="00550B85" w:rsidRDefault="00BF6421" w:rsidP="00BF6421">
      <w:pPr>
        <w:spacing w:after="120"/>
        <w:ind w:hanging="2"/>
        <w:rPr>
          <w:rFonts w:eastAsia="Times New Roman"/>
          <w:highlight w:val="green"/>
        </w:rPr>
      </w:pPr>
      <w:r w:rsidRPr="00550B85">
        <w:rPr>
          <w:rFonts w:eastAsia="Times New Roman"/>
          <w:b/>
        </w:rPr>
        <w:t xml:space="preserve">Hasil </w:t>
      </w: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Tabel 1</w:t>
      </w:r>
    </w:p>
    <w:p w:rsidR="00BF6421" w:rsidRPr="00550B85" w:rsidRDefault="00BF6421" w:rsidP="00BF6421">
      <w:pPr>
        <w:ind w:hanging="2"/>
        <w:rPr>
          <w:rFonts w:eastAsia="Times New Roman"/>
          <w:i/>
          <w:sz w:val="20"/>
          <w:szCs w:val="20"/>
          <w:lang w:eastAsia="en-ID"/>
        </w:rPr>
      </w:pPr>
      <w:r w:rsidRPr="00550B85">
        <w:rPr>
          <w:rFonts w:eastAsia="Times New Roman"/>
          <w:i/>
          <w:sz w:val="20"/>
          <w:szCs w:val="20"/>
          <w:lang w:eastAsia="en-ID"/>
        </w:rPr>
        <w:t>Uji Normalitas</w:t>
      </w:r>
    </w:p>
    <w:p w:rsidR="00BF6421" w:rsidRPr="00550B85" w:rsidRDefault="00BF6421" w:rsidP="00BF6421">
      <w:pPr>
        <w:ind w:hanging="2"/>
        <w:rPr>
          <w:rFonts w:eastAsia="Times New Roman"/>
          <w:lang w:eastAsia="en-ID"/>
        </w:rPr>
      </w:pPr>
    </w:p>
    <w:tbl>
      <w:tblPr>
        <w:tblW w:w="6101" w:type="dxa"/>
        <w:tblLayout w:type="fixed"/>
        <w:tblCellMar>
          <w:left w:w="0" w:type="dxa"/>
          <w:right w:w="0" w:type="dxa"/>
        </w:tblCellMar>
        <w:tblLook w:val="0000" w:firstRow="0" w:lastRow="0" w:firstColumn="0" w:lastColumn="0" w:noHBand="0" w:noVBand="0"/>
      </w:tblPr>
      <w:tblGrid>
        <w:gridCol w:w="2431"/>
        <w:gridCol w:w="2202"/>
        <w:gridCol w:w="1468"/>
      </w:tblGrid>
      <w:tr w:rsidR="00BF6421" w:rsidRPr="008B1114" w:rsidTr="00BB4174">
        <w:trPr>
          <w:cantSplit/>
          <w:tblHeader/>
        </w:trPr>
        <w:tc>
          <w:tcPr>
            <w:tcW w:w="6101" w:type="dxa"/>
            <w:gridSpan w:val="3"/>
            <w:tcBorders>
              <w:top w:val="single" w:sz="4" w:space="0" w:color="auto"/>
              <w:bottom w:val="single" w:sz="4" w:space="0" w:color="auto"/>
            </w:tcBorders>
            <w:shd w:val="clear" w:color="auto" w:fill="FFFFFF"/>
            <w:vAlign w:val="center"/>
          </w:tcPr>
          <w:p w:rsidR="00BF6421" w:rsidRPr="008B1114" w:rsidRDefault="00BF6421" w:rsidP="00BB4174">
            <w:pPr>
              <w:autoSpaceDE w:val="0"/>
              <w:autoSpaceDN w:val="0"/>
              <w:adjustRightInd w:val="0"/>
              <w:spacing w:line="320" w:lineRule="atLeast"/>
              <w:ind w:right="60" w:hanging="2"/>
              <w:jc w:val="center"/>
              <w:rPr>
                <w:rFonts w:eastAsia="Times New Roman"/>
                <w:color w:val="000000"/>
                <w:lang w:eastAsia="en-ID"/>
              </w:rPr>
            </w:pPr>
            <w:r w:rsidRPr="008B1114">
              <w:rPr>
                <w:rFonts w:eastAsia="Times New Roman"/>
                <w:b/>
                <w:bCs/>
                <w:color w:val="000000"/>
                <w:lang w:eastAsia="en-ID"/>
              </w:rPr>
              <w:t>One-Sample Kolmogorov-Smirnov Test</w:t>
            </w:r>
          </w:p>
        </w:tc>
      </w:tr>
      <w:tr w:rsidR="00BF6421" w:rsidRPr="008B1114" w:rsidTr="00BB4174">
        <w:trPr>
          <w:cantSplit/>
          <w:tblHeader/>
        </w:trPr>
        <w:tc>
          <w:tcPr>
            <w:tcW w:w="4633" w:type="dxa"/>
            <w:gridSpan w:val="2"/>
            <w:tcBorders>
              <w:top w:val="single" w:sz="4" w:space="0" w:color="auto"/>
            </w:tcBorders>
            <w:shd w:val="clear" w:color="auto" w:fill="FFFFFF"/>
            <w:vAlign w:val="center"/>
          </w:tcPr>
          <w:p w:rsidR="00BF6421" w:rsidRPr="008B1114" w:rsidRDefault="00BF6421" w:rsidP="00BB4174">
            <w:pPr>
              <w:autoSpaceDE w:val="0"/>
              <w:autoSpaceDN w:val="0"/>
              <w:adjustRightInd w:val="0"/>
              <w:ind w:hanging="2"/>
              <w:jc w:val="center"/>
              <w:rPr>
                <w:rFonts w:eastAsia="Times New Roman"/>
                <w:lang w:eastAsia="en-ID"/>
              </w:rPr>
            </w:pPr>
          </w:p>
        </w:tc>
        <w:tc>
          <w:tcPr>
            <w:tcW w:w="1468" w:type="dxa"/>
            <w:shd w:val="clear" w:color="auto" w:fill="FFFFFF"/>
            <w:vAlign w:val="bottom"/>
          </w:tcPr>
          <w:p w:rsidR="00BF6421" w:rsidRPr="008B1114" w:rsidRDefault="00BF6421" w:rsidP="00BB4174">
            <w:pPr>
              <w:autoSpaceDE w:val="0"/>
              <w:autoSpaceDN w:val="0"/>
              <w:adjustRightInd w:val="0"/>
              <w:spacing w:line="320" w:lineRule="atLeast"/>
              <w:ind w:right="60" w:hanging="2"/>
              <w:jc w:val="center"/>
              <w:rPr>
                <w:rFonts w:eastAsia="Times New Roman"/>
                <w:color w:val="000000"/>
                <w:lang w:eastAsia="en-ID"/>
              </w:rPr>
            </w:pPr>
            <w:r w:rsidRPr="008B1114">
              <w:rPr>
                <w:rFonts w:eastAsia="Times New Roman"/>
                <w:color w:val="000000"/>
                <w:lang w:eastAsia="en-ID"/>
              </w:rPr>
              <w:t>Unstandardized Residual</w:t>
            </w:r>
          </w:p>
        </w:tc>
      </w:tr>
      <w:tr w:rsidR="00BF6421" w:rsidRPr="008B1114" w:rsidTr="00BB4174">
        <w:trPr>
          <w:cantSplit/>
          <w:tblHeader/>
        </w:trPr>
        <w:tc>
          <w:tcPr>
            <w:tcW w:w="4633" w:type="dxa"/>
            <w:gridSpan w:val="2"/>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N</w:t>
            </w:r>
          </w:p>
        </w:tc>
        <w:tc>
          <w:tcPr>
            <w:tcW w:w="1468" w:type="dxa"/>
            <w:shd w:val="clear" w:color="auto" w:fill="FFFFFF"/>
          </w:tcPr>
          <w:p w:rsidR="00BF6421" w:rsidRPr="008B1114" w:rsidRDefault="00BF6421" w:rsidP="00BB4174">
            <w:pPr>
              <w:autoSpaceDE w:val="0"/>
              <w:autoSpaceDN w:val="0"/>
              <w:adjustRightInd w:val="0"/>
              <w:spacing w:line="320" w:lineRule="atLeast"/>
              <w:ind w:right="60" w:hanging="2"/>
              <w:jc w:val="right"/>
              <w:rPr>
                <w:rFonts w:eastAsia="Times New Roman"/>
                <w:color w:val="000000"/>
                <w:lang w:eastAsia="en-ID"/>
              </w:rPr>
            </w:pPr>
            <w:r w:rsidRPr="008B1114">
              <w:rPr>
                <w:rFonts w:eastAsia="Times New Roman"/>
                <w:color w:val="000000"/>
                <w:lang w:eastAsia="en-ID"/>
              </w:rPr>
              <w:t>195</w:t>
            </w:r>
          </w:p>
        </w:tc>
      </w:tr>
      <w:tr w:rsidR="00BF6421" w:rsidRPr="008B1114" w:rsidTr="00BB4174">
        <w:trPr>
          <w:cantSplit/>
          <w:tblHeader/>
        </w:trPr>
        <w:tc>
          <w:tcPr>
            <w:tcW w:w="2431" w:type="dxa"/>
            <w:vMerge w:val="restart"/>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Normal Parameters</w:t>
            </w:r>
            <w:r w:rsidRPr="008B1114">
              <w:rPr>
                <w:rFonts w:eastAsia="Times New Roman"/>
                <w:color w:val="000000"/>
                <w:vertAlign w:val="superscript"/>
                <w:lang w:eastAsia="en-ID"/>
              </w:rPr>
              <w:t>a,b</w:t>
            </w:r>
          </w:p>
        </w:tc>
        <w:tc>
          <w:tcPr>
            <w:tcW w:w="2202" w:type="dxa"/>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Mean</w:t>
            </w:r>
          </w:p>
        </w:tc>
        <w:tc>
          <w:tcPr>
            <w:tcW w:w="1468" w:type="dxa"/>
            <w:shd w:val="clear" w:color="auto" w:fill="FFFFFF"/>
          </w:tcPr>
          <w:p w:rsidR="00BF6421" w:rsidRPr="008B1114" w:rsidRDefault="00BF6421" w:rsidP="00BB4174">
            <w:pPr>
              <w:autoSpaceDE w:val="0"/>
              <w:autoSpaceDN w:val="0"/>
              <w:adjustRightInd w:val="0"/>
              <w:spacing w:line="320" w:lineRule="atLeast"/>
              <w:ind w:right="60" w:hanging="2"/>
              <w:jc w:val="right"/>
              <w:rPr>
                <w:rFonts w:eastAsia="Times New Roman"/>
                <w:color w:val="000000"/>
                <w:lang w:eastAsia="en-ID"/>
              </w:rPr>
            </w:pPr>
            <w:r w:rsidRPr="008B1114">
              <w:rPr>
                <w:rFonts w:eastAsia="Times New Roman"/>
                <w:color w:val="000000"/>
                <w:lang w:eastAsia="en-ID"/>
              </w:rPr>
              <w:t>.0000000</w:t>
            </w:r>
          </w:p>
        </w:tc>
      </w:tr>
      <w:tr w:rsidR="00BF6421" w:rsidRPr="008B1114" w:rsidTr="00BB4174">
        <w:trPr>
          <w:cantSplit/>
          <w:tblHeader/>
        </w:trPr>
        <w:tc>
          <w:tcPr>
            <w:tcW w:w="2431" w:type="dxa"/>
            <w:vMerge/>
            <w:shd w:val="clear" w:color="auto" w:fill="FFFFFF"/>
          </w:tcPr>
          <w:p w:rsidR="00BF6421" w:rsidRPr="008B1114" w:rsidRDefault="00BF6421" w:rsidP="00BB4174">
            <w:pPr>
              <w:autoSpaceDE w:val="0"/>
              <w:autoSpaceDN w:val="0"/>
              <w:adjustRightInd w:val="0"/>
              <w:ind w:hanging="2"/>
              <w:rPr>
                <w:rFonts w:eastAsia="Times New Roman"/>
                <w:color w:val="000000"/>
                <w:lang w:eastAsia="en-ID"/>
              </w:rPr>
            </w:pPr>
          </w:p>
        </w:tc>
        <w:tc>
          <w:tcPr>
            <w:tcW w:w="2202" w:type="dxa"/>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Std. Deviation</w:t>
            </w:r>
          </w:p>
        </w:tc>
        <w:tc>
          <w:tcPr>
            <w:tcW w:w="1468" w:type="dxa"/>
            <w:shd w:val="clear" w:color="auto" w:fill="FFFFFF"/>
          </w:tcPr>
          <w:p w:rsidR="00BF6421" w:rsidRPr="008B1114" w:rsidRDefault="00BF6421" w:rsidP="00BB4174">
            <w:pPr>
              <w:autoSpaceDE w:val="0"/>
              <w:autoSpaceDN w:val="0"/>
              <w:adjustRightInd w:val="0"/>
              <w:spacing w:line="320" w:lineRule="atLeast"/>
              <w:ind w:right="60" w:hanging="2"/>
              <w:jc w:val="right"/>
              <w:rPr>
                <w:rFonts w:eastAsia="Times New Roman"/>
                <w:color w:val="000000"/>
                <w:lang w:eastAsia="en-ID"/>
              </w:rPr>
            </w:pPr>
            <w:r w:rsidRPr="00BC45E9">
              <w:rPr>
                <w:rFonts w:ascii="Arial" w:hAnsi="Arial" w:cs="Arial"/>
                <w:color w:val="010205"/>
                <w:sz w:val="18"/>
                <w:szCs w:val="18"/>
              </w:rPr>
              <w:t>14.46780677</w:t>
            </w:r>
          </w:p>
        </w:tc>
      </w:tr>
      <w:tr w:rsidR="00BF6421" w:rsidRPr="008B1114" w:rsidTr="00BB4174">
        <w:trPr>
          <w:cantSplit/>
          <w:tblHeader/>
        </w:trPr>
        <w:tc>
          <w:tcPr>
            <w:tcW w:w="2431" w:type="dxa"/>
            <w:vMerge w:val="restart"/>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Most Extreme Differences</w:t>
            </w:r>
          </w:p>
        </w:tc>
        <w:tc>
          <w:tcPr>
            <w:tcW w:w="2202" w:type="dxa"/>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Absolute</w:t>
            </w:r>
          </w:p>
        </w:tc>
        <w:tc>
          <w:tcPr>
            <w:tcW w:w="1468" w:type="dxa"/>
            <w:shd w:val="clear" w:color="auto" w:fill="FFFFFF"/>
          </w:tcPr>
          <w:p w:rsidR="00BF6421" w:rsidRPr="00BC45E9" w:rsidRDefault="00BF6421" w:rsidP="00BB4174">
            <w:pPr>
              <w:autoSpaceDE w:val="0"/>
              <w:autoSpaceDN w:val="0"/>
              <w:adjustRightInd w:val="0"/>
              <w:spacing w:line="320" w:lineRule="atLeast"/>
              <w:ind w:right="60" w:hanging="2"/>
              <w:jc w:val="right"/>
              <w:rPr>
                <w:rFonts w:ascii="Arial" w:hAnsi="Arial" w:cs="Arial"/>
                <w:color w:val="010205"/>
                <w:sz w:val="18"/>
                <w:szCs w:val="18"/>
              </w:rPr>
            </w:pPr>
            <w:r w:rsidRPr="00BC45E9">
              <w:rPr>
                <w:rFonts w:ascii="Arial" w:hAnsi="Arial" w:cs="Arial"/>
                <w:color w:val="010205"/>
                <w:sz w:val="18"/>
                <w:szCs w:val="18"/>
              </w:rPr>
              <w:t>.098</w:t>
            </w:r>
          </w:p>
        </w:tc>
      </w:tr>
      <w:tr w:rsidR="00BF6421" w:rsidRPr="008B1114" w:rsidTr="00BB4174">
        <w:trPr>
          <w:cantSplit/>
          <w:tblHeader/>
        </w:trPr>
        <w:tc>
          <w:tcPr>
            <w:tcW w:w="2431" w:type="dxa"/>
            <w:vMerge/>
            <w:shd w:val="clear" w:color="auto" w:fill="FFFFFF"/>
          </w:tcPr>
          <w:p w:rsidR="00BF6421" w:rsidRPr="008B1114" w:rsidRDefault="00BF6421" w:rsidP="00BB4174">
            <w:pPr>
              <w:autoSpaceDE w:val="0"/>
              <w:autoSpaceDN w:val="0"/>
              <w:adjustRightInd w:val="0"/>
              <w:ind w:hanging="2"/>
              <w:rPr>
                <w:rFonts w:eastAsia="Times New Roman"/>
                <w:color w:val="000000"/>
                <w:lang w:eastAsia="en-ID"/>
              </w:rPr>
            </w:pPr>
          </w:p>
        </w:tc>
        <w:tc>
          <w:tcPr>
            <w:tcW w:w="2202" w:type="dxa"/>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Positive</w:t>
            </w:r>
          </w:p>
        </w:tc>
        <w:tc>
          <w:tcPr>
            <w:tcW w:w="1468" w:type="dxa"/>
            <w:shd w:val="clear" w:color="auto" w:fill="FFFFFF"/>
          </w:tcPr>
          <w:p w:rsidR="00BF6421" w:rsidRPr="00BC45E9" w:rsidRDefault="00BF6421" w:rsidP="00BB4174">
            <w:pPr>
              <w:autoSpaceDE w:val="0"/>
              <w:autoSpaceDN w:val="0"/>
              <w:adjustRightInd w:val="0"/>
              <w:spacing w:line="320" w:lineRule="atLeast"/>
              <w:ind w:right="60" w:hanging="2"/>
              <w:jc w:val="right"/>
              <w:rPr>
                <w:rFonts w:ascii="Arial" w:hAnsi="Arial" w:cs="Arial"/>
                <w:color w:val="010205"/>
                <w:sz w:val="18"/>
                <w:szCs w:val="18"/>
              </w:rPr>
            </w:pPr>
            <w:r w:rsidRPr="00BC45E9">
              <w:rPr>
                <w:rFonts w:ascii="Arial" w:hAnsi="Arial" w:cs="Arial"/>
                <w:color w:val="010205"/>
                <w:sz w:val="18"/>
                <w:szCs w:val="18"/>
              </w:rPr>
              <w:t>.038</w:t>
            </w:r>
          </w:p>
        </w:tc>
      </w:tr>
      <w:tr w:rsidR="00BF6421" w:rsidRPr="008B1114" w:rsidTr="00BB4174">
        <w:trPr>
          <w:cantSplit/>
          <w:tblHeader/>
        </w:trPr>
        <w:tc>
          <w:tcPr>
            <w:tcW w:w="2431" w:type="dxa"/>
            <w:vMerge/>
            <w:shd w:val="clear" w:color="auto" w:fill="FFFFFF"/>
          </w:tcPr>
          <w:p w:rsidR="00BF6421" w:rsidRPr="008B1114" w:rsidRDefault="00BF6421" w:rsidP="00BB4174">
            <w:pPr>
              <w:autoSpaceDE w:val="0"/>
              <w:autoSpaceDN w:val="0"/>
              <w:adjustRightInd w:val="0"/>
              <w:ind w:hanging="2"/>
              <w:rPr>
                <w:rFonts w:eastAsia="Times New Roman"/>
                <w:color w:val="000000"/>
                <w:lang w:eastAsia="en-ID"/>
              </w:rPr>
            </w:pPr>
          </w:p>
        </w:tc>
        <w:tc>
          <w:tcPr>
            <w:tcW w:w="2202" w:type="dxa"/>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Negative</w:t>
            </w:r>
          </w:p>
        </w:tc>
        <w:tc>
          <w:tcPr>
            <w:tcW w:w="1468" w:type="dxa"/>
            <w:shd w:val="clear" w:color="auto" w:fill="FFFFFF"/>
          </w:tcPr>
          <w:p w:rsidR="00BF6421" w:rsidRPr="00BC45E9" w:rsidRDefault="00BF6421" w:rsidP="00BB4174">
            <w:pPr>
              <w:autoSpaceDE w:val="0"/>
              <w:autoSpaceDN w:val="0"/>
              <w:adjustRightInd w:val="0"/>
              <w:spacing w:line="320" w:lineRule="atLeast"/>
              <w:ind w:right="60" w:hanging="2"/>
              <w:jc w:val="right"/>
              <w:rPr>
                <w:rFonts w:ascii="Arial" w:hAnsi="Arial" w:cs="Arial"/>
                <w:color w:val="010205"/>
                <w:sz w:val="18"/>
                <w:szCs w:val="18"/>
              </w:rPr>
            </w:pPr>
            <w:r w:rsidRPr="00BC45E9">
              <w:rPr>
                <w:rFonts w:ascii="Arial" w:hAnsi="Arial" w:cs="Arial"/>
                <w:color w:val="010205"/>
                <w:sz w:val="18"/>
                <w:szCs w:val="18"/>
              </w:rPr>
              <w:t>-.098</w:t>
            </w:r>
          </w:p>
        </w:tc>
      </w:tr>
      <w:tr w:rsidR="00BF6421" w:rsidRPr="008B1114" w:rsidTr="00BB4174">
        <w:trPr>
          <w:cantSplit/>
          <w:tblHeader/>
        </w:trPr>
        <w:tc>
          <w:tcPr>
            <w:tcW w:w="4633" w:type="dxa"/>
            <w:gridSpan w:val="2"/>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Pr>
                <w:rFonts w:eastAsia="Times New Roman"/>
                <w:color w:val="000000"/>
                <w:lang w:eastAsia="en-ID"/>
              </w:rPr>
              <w:lastRenderedPageBreak/>
              <w:t>Test Statistic</w:t>
            </w:r>
          </w:p>
        </w:tc>
        <w:tc>
          <w:tcPr>
            <w:tcW w:w="1468" w:type="dxa"/>
            <w:shd w:val="clear" w:color="auto" w:fill="FFFFFF"/>
          </w:tcPr>
          <w:p w:rsidR="00BF6421" w:rsidRPr="008B1114" w:rsidRDefault="00BF6421" w:rsidP="00BB4174">
            <w:pPr>
              <w:autoSpaceDE w:val="0"/>
              <w:autoSpaceDN w:val="0"/>
              <w:adjustRightInd w:val="0"/>
              <w:spacing w:line="320" w:lineRule="atLeast"/>
              <w:ind w:right="60" w:hanging="2"/>
              <w:jc w:val="right"/>
              <w:rPr>
                <w:rFonts w:eastAsia="Times New Roman"/>
                <w:color w:val="000000"/>
                <w:lang w:eastAsia="en-ID"/>
              </w:rPr>
            </w:pPr>
            <w:r>
              <w:rPr>
                <w:rFonts w:eastAsia="Times New Roman"/>
                <w:color w:val="000000"/>
                <w:lang w:eastAsia="en-ID"/>
              </w:rPr>
              <w:t>.098</w:t>
            </w:r>
          </w:p>
        </w:tc>
      </w:tr>
      <w:tr w:rsidR="00BF6421" w:rsidRPr="008B1114" w:rsidTr="00BB4174">
        <w:trPr>
          <w:cantSplit/>
          <w:tblHeader/>
        </w:trPr>
        <w:tc>
          <w:tcPr>
            <w:tcW w:w="4633" w:type="dxa"/>
            <w:gridSpan w:val="2"/>
            <w:tcBorders>
              <w:bottom w:val="single" w:sz="4" w:space="0" w:color="auto"/>
            </w:tcBorders>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Asymp. Sig. (2-tailed)</w:t>
            </w:r>
          </w:p>
        </w:tc>
        <w:tc>
          <w:tcPr>
            <w:tcW w:w="1468" w:type="dxa"/>
            <w:tcBorders>
              <w:bottom w:val="single" w:sz="4" w:space="0" w:color="auto"/>
            </w:tcBorders>
            <w:shd w:val="clear" w:color="auto" w:fill="FFFFFF"/>
          </w:tcPr>
          <w:p w:rsidR="00BF6421" w:rsidRPr="008B1114" w:rsidRDefault="00BF6421" w:rsidP="00BB4174">
            <w:pPr>
              <w:autoSpaceDE w:val="0"/>
              <w:autoSpaceDN w:val="0"/>
              <w:adjustRightInd w:val="0"/>
              <w:spacing w:line="320" w:lineRule="atLeast"/>
              <w:ind w:right="60" w:hanging="2"/>
              <w:jc w:val="right"/>
              <w:rPr>
                <w:rFonts w:eastAsia="Times New Roman"/>
                <w:color w:val="000000"/>
                <w:lang w:eastAsia="en-ID"/>
              </w:rPr>
            </w:pPr>
            <w:r w:rsidRPr="008B1114">
              <w:rPr>
                <w:rFonts w:eastAsia="Times New Roman"/>
                <w:color w:val="000000"/>
                <w:lang w:eastAsia="en-ID"/>
              </w:rPr>
              <w:t>.</w:t>
            </w:r>
            <w:r>
              <w:rPr>
                <w:rFonts w:eastAsia="Times New Roman"/>
                <w:color w:val="000000"/>
                <w:lang w:eastAsia="en-ID"/>
              </w:rPr>
              <w:t>000</w:t>
            </w:r>
          </w:p>
        </w:tc>
      </w:tr>
      <w:tr w:rsidR="00BF6421" w:rsidRPr="008B1114" w:rsidTr="00BB4174">
        <w:trPr>
          <w:cantSplit/>
          <w:tblHeader/>
        </w:trPr>
        <w:tc>
          <w:tcPr>
            <w:tcW w:w="6101" w:type="dxa"/>
            <w:gridSpan w:val="3"/>
            <w:tcBorders>
              <w:top w:val="single" w:sz="4" w:space="0" w:color="auto"/>
            </w:tcBorders>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a. Test distribution is Normal.</w:t>
            </w:r>
          </w:p>
        </w:tc>
      </w:tr>
      <w:tr w:rsidR="00BF6421" w:rsidRPr="008B1114" w:rsidTr="00BB4174">
        <w:trPr>
          <w:cantSplit/>
        </w:trPr>
        <w:tc>
          <w:tcPr>
            <w:tcW w:w="6101" w:type="dxa"/>
            <w:gridSpan w:val="3"/>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8B1114">
              <w:rPr>
                <w:rFonts w:eastAsia="Times New Roman"/>
                <w:color w:val="000000"/>
                <w:lang w:eastAsia="en-ID"/>
              </w:rPr>
              <w:t>b. Calculated from data.</w:t>
            </w:r>
          </w:p>
        </w:tc>
      </w:tr>
      <w:tr w:rsidR="00BF6421" w:rsidRPr="008B1114" w:rsidTr="00BB4174">
        <w:trPr>
          <w:cantSplit/>
        </w:trPr>
        <w:tc>
          <w:tcPr>
            <w:tcW w:w="6101" w:type="dxa"/>
            <w:gridSpan w:val="3"/>
            <w:shd w:val="clear" w:color="auto" w:fill="FFFFFF"/>
          </w:tcPr>
          <w:p w:rsidR="00BF6421" w:rsidRPr="008B1114" w:rsidRDefault="00BF6421" w:rsidP="00BB4174">
            <w:pPr>
              <w:autoSpaceDE w:val="0"/>
              <w:autoSpaceDN w:val="0"/>
              <w:adjustRightInd w:val="0"/>
              <w:spacing w:line="320" w:lineRule="atLeast"/>
              <w:ind w:right="60" w:hanging="2"/>
              <w:rPr>
                <w:rFonts w:eastAsia="Times New Roman"/>
                <w:color w:val="000000"/>
                <w:lang w:eastAsia="en-ID"/>
              </w:rPr>
            </w:pPr>
            <w:r w:rsidRPr="00BC45E9">
              <w:rPr>
                <w:rFonts w:eastAsia="Times New Roman"/>
                <w:color w:val="000000"/>
                <w:lang w:eastAsia="en-ID"/>
              </w:rPr>
              <w:t>c. Lilliefors Significance Correction.</w:t>
            </w:r>
          </w:p>
        </w:tc>
      </w:tr>
    </w:tbl>
    <w:p w:rsidR="00BF6421" w:rsidRPr="00550B85" w:rsidRDefault="00BF6421" w:rsidP="00BF6421">
      <w:pPr>
        <w:jc w:val="both"/>
        <w:rPr>
          <w:rFonts w:eastAsia="Times New Roman"/>
          <w:bCs/>
          <w:lang w:eastAsia="en-ID"/>
        </w:rPr>
      </w:pPr>
    </w:p>
    <w:p w:rsidR="00BF6421" w:rsidRPr="00550B85" w:rsidRDefault="00BF6421" w:rsidP="00BF6421">
      <w:pPr>
        <w:ind w:firstLine="720"/>
        <w:jc w:val="both"/>
        <w:rPr>
          <w:rFonts w:eastAsia="Times New Roman"/>
          <w:lang w:eastAsia="en-ID"/>
        </w:rPr>
      </w:pPr>
      <w:r w:rsidRPr="00550B85">
        <w:rPr>
          <w:rFonts w:eastAsia="Times New Roman"/>
          <w:lang w:eastAsia="en-ID"/>
        </w:rPr>
        <w:t>B</w:t>
      </w:r>
      <w:r w:rsidRPr="00550B85">
        <w:t>e</w:t>
      </w:r>
      <w:r w:rsidRPr="00550B85">
        <w:rPr>
          <w:color w:val="000000"/>
          <w:spacing w:val="-20"/>
          <w:w w:val="1"/>
        </w:rPr>
        <w:t>i</w:t>
      </w:r>
      <w:r w:rsidRPr="00550B85">
        <w:rPr>
          <w:rFonts w:eastAsia="Times New Roman"/>
          <w:lang w:eastAsia="en-ID"/>
        </w:rPr>
        <w:t>rdasarkan dari data tab</w:t>
      </w:r>
      <w:r w:rsidRPr="00550B85">
        <w:t>e</w:t>
      </w:r>
      <w:r w:rsidRPr="00550B85">
        <w:rPr>
          <w:color w:val="000000"/>
          <w:spacing w:val="-20"/>
          <w:w w:val="1"/>
        </w:rPr>
        <w:t>i</w:t>
      </w:r>
      <w:r w:rsidRPr="00550B85">
        <w:rPr>
          <w:rFonts w:eastAsia="Times New Roman"/>
          <w:lang w:eastAsia="en-ID"/>
        </w:rPr>
        <w:t xml:space="preserve">l 1 </w:t>
      </w:r>
      <w:r w:rsidRPr="00550B85">
        <w:rPr>
          <w:rFonts w:eastAsia="Times New Roman"/>
          <w:i/>
          <w:lang w:eastAsia="en-ID"/>
        </w:rPr>
        <w:t>Kolmogorof-smirnov</w:t>
      </w:r>
      <w:r w:rsidRPr="00550B85">
        <w:rPr>
          <w:rFonts w:eastAsia="Times New Roman"/>
          <w:lang w:eastAsia="en-ID"/>
        </w:rPr>
        <w:t xml:space="preserve"> dapat dik</w:t>
      </w:r>
      <w:r w:rsidRPr="00550B85">
        <w:t>e</w:t>
      </w:r>
      <w:r w:rsidRPr="00550B85">
        <w:rPr>
          <w:color w:val="000000"/>
          <w:spacing w:val="-20"/>
          <w:w w:val="1"/>
        </w:rPr>
        <w:t>i</w:t>
      </w:r>
      <w:r w:rsidRPr="00550B85">
        <w:rPr>
          <w:rFonts w:eastAsia="Times New Roman"/>
          <w:lang w:eastAsia="en-ID"/>
        </w:rPr>
        <w:t>tahui nilai signifikansi yaitu 0,000 b</w:t>
      </w:r>
      <w:r w:rsidRPr="00550B85">
        <w:t>e</w:t>
      </w:r>
      <w:r w:rsidRPr="00550B85">
        <w:rPr>
          <w:color w:val="000000"/>
          <w:spacing w:val="-20"/>
          <w:w w:val="1"/>
        </w:rPr>
        <w:t>i</w:t>
      </w:r>
      <w:r w:rsidRPr="00550B85">
        <w:rPr>
          <w:rFonts w:eastAsia="Times New Roman"/>
          <w:lang w:eastAsia="en-ID"/>
        </w:rPr>
        <w:t>rarti nilai t</w:t>
      </w:r>
      <w:r w:rsidRPr="00550B85">
        <w:t>e</w:t>
      </w:r>
      <w:r w:rsidRPr="00550B85">
        <w:rPr>
          <w:color w:val="000000"/>
          <w:spacing w:val="-20"/>
          <w:w w:val="1"/>
        </w:rPr>
        <w:t>i</w:t>
      </w:r>
      <w:r w:rsidRPr="00550B85">
        <w:rPr>
          <w:rFonts w:eastAsia="Times New Roman"/>
          <w:lang w:eastAsia="en-ID"/>
        </w:rPr>
        <w:t>rsebut kurang dari 0,05 (0,000 &lt; 0,05) dan dapat dikatakan bahwa data distribusi t</w:t>
      </w:r>
      <w:r w:rsidRPr="00550B85">
        <w:t>e</w:t>
      </w:r>
      <w:r w:rsidRPr="00550B85">
        <w:rPr>
          <w:color w:val="000000"/>
          <w:spacing w:val="-20"/>
          <w:w w:val="1"/>
        </w:rPr>
        <w:t>i</w:t>
      </w:r>
      <w:r w:rsidRPr="00550B85">
        <w:rPr>
          <w:rFonts w:eastAsia="Times New Roman"/>
          <w:lang w:eastAsia="en-ID"/>
        </w:rPr>
        <w:t>rsebut tidak normal. B</w:t>
      </w:r>
      <w:r w:rsidRPr="00550B85">
        <w:t>e</w:t>
      </w:r>
      <w:r w:rsidRPr="00550B85">
        <w:rPr>
          <w:color w:val="000000"/>
          <w:spacing w:val="-20"/>
          <w:w w:val="1"/>
        </w:rPr>
        <w:t>i</w:t>
      </w:r>
      <w:r w:rsidRPr="00550B85">
        <w:rPr>
          <w:rFonts w:eastAsia="Times New Roman"/>
          <w:lang w:eastAsia="en-ID"/>
        </w:rPr>
        <w:t>rdasarkan dari p</w:t>
      </w:r>
      <w:r w:rsidRPr="00550B85">
        <w:t>e</w:t>
      </w:r>
      <w:r w:rsidRPr="00550B85">
        <w:rPr>
          <w:color w:val="000000"/>
          <w:spacing w:val="-20"/>
          <w:w w:val="1"/>
        </w:rPr>
        <w:t>i</w:t>
      </w:r>
      <w:r w:rsidRPr="00550B85">
        <w:rPr>
          <w:rFonts w:eastAsia="Times New Roman"/>
          <w:lang w:eastAsia="en-ID"/>
        </w:rPr>
        <w:t>rnyataan t</w:t>
      </w:r>
      <w:r w:rsidRPr="00550B85">
        <w:t>e</w:t>
      </w:r>
      <w:r w:rsidRPr="00550B85">
        <w:rPr>
          <w:color w:val="000000"/>
          <w:spacing w:val="-20"/>
          <w:w w:val="1"/>
        </w:rPr>
        <w:t>i</w:t>
      </w:r>
      <w:r w:rsidRPr="00550B85">
        <w:rPr>
          <w:rFonts w:eastAsia="Times New Roman"/>
          <w:lang w:eastAsia="en-ID"/>
        </w:rPr>
        <w:t>rsebut maka dapat diartikan bahwa variabl</w:t>
      </w:r>
      <w:r w:rsidRPr="00550B85">
        <w:t>e</w:t>
      </w:r>
      <w:r w:rsidRPr="00550B85">
        <w:rPr>
          <w:color w:val="000000"/>
          <w:spacing w:val="-20"/>
          <w:w w:val="1"/>
        </w:rPr>
        <w:t>i</w:t>
      </w:r>
      <w:r w:rsidRPr="00550B85">
        <w:rPr>
          <w:rFonts w:eastAsia="Times New Roman"/>
          <w:lang w:eastAsia="en-ID"/>
        </w:rPr>
        <w:t xml:space="preserve"> t</w:t>
      </w:r>
      <w:r w:rsidRPr="00550B85">
        <w:t>e</w:t>
      </w:r>
      <w:r w:rsidRPr="00550B85">
        <w:rPr>
          <w:color w:val="000000"/>
          <w:spacing w:val="-20"/>
          <w:w w:val="1"/>
        </w:rPr>
        <w:t>i</w:t>
      </w:r>
      <w:r w:rsidRPr="00550B85">
        <w:rPr>
          <w:rFonts w:eastAsia="Times New Roman"/>
          <w:lang w:eastAsia="en-ID"/>
        </w:rPr>
        <w:t>rsebut m</w:t>
      </w:r>
      <w:r w:rsidRPr="00550B85">
        <w:t>e</w:t>
      </w:r>
      <w:r w:rsidRPr="00550B85">
        <w:rPr>
          <w:color w:val="000000"/>
          <w:spacing w:val="-20"/>
          <w:w w:val="1"/>
        </w:rPr>
        <w:t>i</w:t>
      </w:r>
      <w:r w:rsidRPr="00550B85">
        <w:rPr>
          <w:rFonts w:eastAsia="Times New Roman"/>
          <w:lang w:eastAsia="en-ID"/>
        </w:rPr>
        <w:t>miliki distribusi tidak normal.</w:t>
      </w:r>
    </w:p>
    <w:p w:rsidR="00BF6421" w:rsidRPr="00550B85" w:rsidRDefault="00BF6421" w:rsidP="00BF6421">
      <w:pPr>
        <w:ind w:hanging="2"/>
        <w:jc w:val="both"/>
        <w:rPr>
          <w:lang w:eastAsia="en-ID"/>
        </w:rPr>
      </w:pP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 xml:space="preserve">Tabel 2 </w:t>
      </w:r>
    </w:p>
    <w:p w:rsidR="00BF6421" w:rsidRPr="00550B85" w:rsidRDefault="00BF6421" w:rsidP="00BF6421">
      <w:pPr>
        <w:ind w:hanging="2"/>
        <w:rPr>
          <w:rFonts w:eastAsia="Times New Roman"/>
          <w:i/>
          <w:sz w:val="20"/>
          <w:szCs w:val="20"/>
          <w:lang w:eastAsia="en-ID"/>
        </w:rPr>
      </w:pPr>
      <w:r w:rsidRPr="00550B85">
        <w:rPr>
          <w:rFonts w:eastAsia="Times New Roman"/>
          <w:i/>
          <w:sz w:val="20"/>
          <w:szCs w:val="20"/>
          <w:lang w:eastAsia="en-ID"/>
        </w:rPr>
        <w:t>Uji Linearitas</w:t>
      </w:r>
    </w:p>
    <w:p w:rsidR="00BF6421" w:rsidRPr="00550B85" w:rsidRDefault="00BF6421" w:rsidP="00BF6421">
      <w:pPr>
        <w:ind w:hanging="2"/>
        <w:rPr>
          <w:rFonts w:eastAsia="Times New Roman"/>
          <w:sz w:val="20"/>
          <w:szCs w:val="20"/>
          <w:lang w:eastAsia="en-ID"/>
        </w:rPr>
      </w:pPr>
    </w:p>
    <w:tbl>
      <w:tblPr>
        <w:tblW w:w="0" w:type="auto"/>
        <w:tblLook w:val="04A0" w:firstRow="1" w:lastRow="0" w:firstColumn="1" w:lastColumn="0" w:noHBand="0" w:noVBand="1"/>
      </w:tblPr>
      <w:tblGrid>
        <w:gridCol w:w="2310"/>
        <w:gridCol w:w="2310"/>
        <w:gridCol w:w="2311"/>
        <w:gridCol w:w="2311"/>
      </w:tblGrid>
      <w:tr w:rsidR="00BF6421" w:rsidRPr="00550B85" w:rsidTr="00BB4174">
        <w:tc>
          <w:tcPr>
            <w:tcW w:w="2310"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Uji Asumsi</w:t>
            </w:r>
          </w:p>
        </w:tc>
        <w:tc>
          <w:tcPr>
            <w:tcW w:w="2310"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Statistic Test Linierity</w:t>
            </w:r>
          </w:p>
        </w:tc>
        <w:tc>
          <w:tcPr>
            <w:tcW w:w="2311"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Sig</w:t>
            </w:r>
          </w:p>
        </w:tc>
        <w:tc>
          <w:tcPr>
            <w:tcW w:w="2311"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keterangan</w:t>
            </w:r>
          </w:p>
        </w:tc>
      </w:tr>
      <w:tr w:rsidR="00BF6421" w:rsidRPr="00550B85" w:rsidTr="00BB4174">
        <w:tc>
          <w:tcPr>
            <w:tcW w:w="2310" w:type="dxa"/>
            <w:tcBorders>
              <w:top w:val="single" w:sz="4" w:space="0" w:color="auto"/>
            </w:tcBorders>
          </w:tcPr>
          <w:p w:rsidR="00BF6421" w:rsidRPr="008938AC" w:rsidRDefault="00BF6421" w:rsidP="008938AC">
            <w:pPr>
              <w:ind w:hanging="2"/>
              <w:jc w:val="center"/>
              <w:rPr>
                <w:rFonts w:eastAsia="Times New Roman"/>
                <w:bCs/>
                <w:i/>
                <w:iCs/>
                <w:lang w:val="en-US"/>
              </w:rPr>
            </w:pPr>
            <w:r w:rsidRPr="00550B85">
              <w:rPr>
                <w:rFonts w:eastAsia="Times New Roman"/>
                <w:bCs/>
                <w:i/>
                <w:iCs/>
              </w:rPr>
              <w:t>Academic Bouyancy</w:t>
            </w:r>
            <w:r w:rsidR="008938AC">
              <w:rPr>
                <w:rFonts w:eastAsia="Times New Roman"/>
                <w:bCs/>
                <w:i/>
                <w:iCs/>
                <w:lang w:val="en-US"/>
              </w:rPr>
              <w:t xml:space="preserve"> </w:t>
            </w:r>
            <w:r w:rsidR="008938AC" w:rsidRPr="00550B85">
              <w:rPr>
                <w:rFonts w:eastAsia="Times New Roman"/>
                <w:bCs/>
                <w:i/>
                <w:iCs/>
              </w:rPr>
              <w:t>–</w:t>
            </w:r>
            <w:r w:rsidR="008938AC">
              <w:rPr>
                <w:rFonts w:eastAsia="Times New Roman"/>
                <w:bCs/>
                <w:i/>
                <w:iCs/>
                <w:lang w:val="en-US"/>
              </w:rPr>
              <w:t xml:space="preserve"> </w:t>
            </w:r>
            <w:r w:rsidR="008938AC" w:rsidRPr="00550B85">
              <w:rPr>
                <w:rFonts w:eastAsia="Times New Roman"/>
                <w:bCs/>
                <w:i/>
                <w:iCs/>
              </w:rPr>
              <w:t>School Adjustment</w:t>
            </w:r>
          </w:p>
        </w:tc>
        <w:tc>
          <w:tcPr>
            <w:tcW w:w="2310" w:type="dxa"/>
            <w:tcBorders>
              <w:top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30.679</w:t>
            </w:r>
          </w:p>
        </w:tc>
        <w:tc>
          <w:tcPr>
            <w:tcW w:w="2311" w:type="dxa"/>
            <w:tcBorders>
              <w:top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0.000</w:t>
            </w:r>
          </w:p>
        </w:tc>
        <w:tc>
          <w:tcPr>
            <w:tcW w:w="2311" w:type="dxa"/>
            <w:tcBorders>
              <w:top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Linear</w:t>
            </w:r>
          </w:p>
        </w:tc>
      </w:tr>
      <w:tr w:rsidR="00BF6421" w:rsidRPr="00550B85" w:rsidTr="00BB4174">
        <w:tc>
          <w:tcPr>
            <w:tcW w:w="2310" w:type="dxa"/>
            <w:tcBorders>
              <w:bottom w:val="single" w:sz="4" w:space="0" w:color="auto"/>
            </w:tcBorders>
          </w:tcPr>
          <w:p w:rsidR="00BF6421" w:rsidRPr="008938AC" w:rsidRDefault="00BF6421" w:rsidP="00BB4174">
            <w:pPr>
              <w:ind w:hanging="2"/>
              <w:jc w:val="center"/>
              <w:rPr>
                <w:rFonts w:eastAsia="Times New Roman"/>
                <w:bCs/>
                <w:i/>
                <w:iCs/>
                <w:lang w:val="en-US"/>
              </w:rPr>
            </w:pPr>
            <w:r w:rsidRPr="00550B85">
              <w:rPr>
                <w:rFonts w:eastAsia="Times New Roman"/>
                <w:bCs/>
                <w:i/>
                <w:iCs/>
              </w:rPr>
              <w:t xml:space="preserve"> Self-Regulated Learning</w:t>
            </w:r>
            <w:r w:rsidR="008938AC">
              <w:rPr>
                <w:rFonts w:eastAsia="Times New Roman"/>
                <w:bCs/>
                <w:i/>
                <w:iCs/>
                <w:lang w:val="en-US"/>
              </w:rPr>
              <w:t xml:space="preserve"> </w:t>
            </w:r>
            <w:r w:rsidR="008938AC" w:rsidRPr="00550B85">
              <w:rPr>
                <w:rFonts w:eastAsia="Times New Roman"/>
                <w:bCs/>
                <w:i/>
                <w:iCs/>
              </w:rPr>
              <w:t>–</w:t>
            </w:r>
            <w:r w:rsidR="008938AC">
              <w:rPr>
                <w:rFonts w:eastAsia="Times New Roman"/>
                <w:bCs/>
                <w:i/>
                <w:iCs/>
                <w:lang w:val="en-US"/>
              </w:rPr>
              <w:t xml:space="preserve"> </w:t>
            </w:r>
            <w:r w:rsidR="008938AC" w:rsidRPr="00550B85">
              <w:rPr>
                <w:rFonts w:eastAsia="Times New Roman"/>
                <w:bCs/>
                <w:i/>
                <w:iCs/>
              </w:rPr>
              <w:t>School Adjustment</w:t>
            </w:r>
          </w:p>
        </w:tc>
        <w:tc>
          <w:tcPr>
            <w:tcW w:w="2310" w:type="dxa"/>
            <w:tcBorders>
              <w:bottom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4.350</w:t>
            </w:r>
          </w:p>
        </w:tc>
        <w:tc>
          <w:tcPr>
            <w:tcW w:w="2311" w:type="dxa"/>
            <w:tcBorders>
              <w:bottom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0.039</w:t>
            </w:r>
          </w:p>
        </w:tc>
        <w:tc>
          <w:tcPr>
            <w:tcW w:w="2311" w:type="dxa"/>
            <w:tcBorders>
              <w:bottom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Linear</w:t>
            </w:r>
          </w:p>
        </w:tc>
      </w:tr>
    </w:tbl>
    <w:p w:rsidR="00BF6421" w:rsidRPr="00550B85" w:rsidRDefault="00BF6421" w:rsidP="00BF6421">
      <w:pPr>
        <w:ind w:hanging="2"/>
        <w:jc w:val="both"/>
        <w:rPr>
          <w:rFonts w:eastAsia="Times New Roman"/>
          <w:sz w:val="20"/>
          <w:szCs w:val="20"/>
          <w:lang w:eastAsia="en-ID"/>
        </w:rPr>
      </w:pPr>
    </w:p>
    <w:p w:rsidR="00BF6421" w:rsidRPr="00550B85" w:rsidRDefault="00BF6421" w:rsidP="00BF6421">
      <w:pPr>
        <w:ind w:firstLine="720"/>
        <w:jc w:val="both"/>
        <w:rPr>
          <w:rFonts w:eastAsia="Times New Roman"/>
          <w:lang w:eastAsia="en-ID"/>
        </w:rPr>
      </w:pPr>
      <w:r w:rsidRPr="00550B85">
        <w:rPr>
          <w:rFonts w:eastAsia="Times New Roman"/>
          <w:lang w:eastAsia="en-ID"/>
        </w:rPr>
        <w:t>Dalam tabel 2 dik</w:t>
      </w:r>
      <w:r w:rsidRPr="00550B85">
        <w:t>e</w:t>
      </w:r>
      <w:r w:rsidRPr="00550B85">
        <w:rPr>
          <w:color w:val="000000"/>
          <w:spacing w:val="-20"/>
          <w:w w:val="1"/>
        </w:rPr>
        <w:t>i</w:t>
      </w:r>
      <w:r w:rsidRPr="00550B85">
        <w:rPr>
          <w:rFonts w:eastAsia="Times New Roman"/>
          <w:lang w:eastAsia="en-ID"/>
        </w:rPr>
        <w:t xml:space="preserve">tahui bahwa nilai signifikansi </w:t>
      </w:r>
      <w:r w:rsidRPr="00550B85">
        <w:rPr>
          <w:rFonts w:eastAsia="Times New Roman"/>
          <w:i/>
          <w:lang w:eastAsia="en-ID"/>
        </w:rPr>
        <w:t xml:space="preserve">linearity school adjustment </w:t>
      </w:r>
      <w:r w:rsidRPr="00550B85">
        <w:rPr>
          <w:rFonts w:eastAsia="Times New Roman"/>
          <w:lang w:eastAsia="en-ID"/>
        </w:rPr>
        <w:t xml:space="preserve">dan </w:t>
      </w:r>
      <w:r w:rsidRPr="00550B85">
        <w:rPr>
          <w:rFonts w:eastAsia="Times New Roman"/>
          <w:i/>
          <w:lang w:eastAsia="en-ID"/>
        </w:rPr>
        <w:t>academic bouyancy</w:t>
      </w:r>
      <w:r w:rsidRPr="00550B85">
        <w:rPr>
          <w:rFonts w:eastAsia="Times New Roman"/>
          <w:lang w:eastAsia="en-ID"/>
        </w:rPr>
        <w:t xml:space="preserve"> dengan nilai sebesar 0,000 kurang dari 0,05 (0,000 &lt; 0,05), maka dapat disimpulkan bahwa variabel tersebut linier. Dik</w:t>
      </w:r>
      <w:r w:rsidRPr="00550B85">
        <w:t>e</w:t>
      </w:r>
      <w:r w:rsidRPr="00550B85">
        <w:rPr>
          <w:color w:val="000000"/>
          <w:spacing w:val="-20"/>
          <w:w w:val="1"/>
        </w:rPr>
        <w:t>i</w:t>
      </w:r>
      <w:r w:rsidRPr="00550B85">
        <w:rPr>
          <w:rFonts w:eastAsia="Times New Roman"/>
          <w:lang w:eastAsia="en-ID"/>
        </w:rPr>
        <w:t xml:space="preserve">tahui bahwa nilai signifikansi </w:t>
      </w:r>
      <w:r w:rsidRPr="00550B85">
        <w:rPr>
          <w:rFonts w:eastAsia="Times New Roman"/>
          <w:i/>
          <w:lang w:eastAsia="en-ID"/>
        </w:rPr>
        <w:t xml:space="preserve">linearity school adjustment </w:t>
      </w:r>
      <w:r w:rsidRPr="00550B85">
        <w:rPr>
          <w:rFonts w:eastAsia="Times New Roman"/>
          <w:lang w:eastAsia="en-ID"/>
        </w:rPr>
        <w:t xml:space="preserve">dan </w:t>
      </w:r>
      <w:r w:rsidRPr="00550B85">
        <w:rPr>
          <w:rFonts w:eastAsia="Times New Roman"/>
          <w:i/>
          <w:lang w:eastAsia="en-ID"/>
        </w:rPr>
        <w:t>self-regulated learning</w:t>
      </w:r>
      <w:r w:rsidRPr="00550B85">
        <w:rPr>
          <w:rFonts w:eastAsia="Times New Roman"/>
          <w:lang w:eastAsia="en-ID"/>
        </w:rPr>
        <w:t xml:space="preserve"> dengan nilai sebesar 0,039 kurang dari 0,05 (0,000 &lt; 0,05), maka dapat disimpulkan bahwa variabel tersebut linier.</w:t>
      </w:r>
    </w:p>
    <w:p w:rsidR="00BF6421" w:rsidRPr="00550B85" w:rsidRDefault="00BF6421" w:rsidP="00BF6421">
      <w:pPr>
        <w:ind w:hanging="2"/>
        <w:jc w:val="both"/>
        <w:rPr>
          <w:rFonts w:eastAsia="Times New Roman"/>
          <w:bCs/>
          <w:lang w:eastAsia="en-ID"/>
        </w:rPr>
      </w:pP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 xml:space="preserve">Tabel 3 </w:t>
      </w:r>
    </w:p>
    <w:p w:rsidR="00BF6421" w:rsidRPr="00550B85" w:rsidRDefault="00BF6421" w:rsidP="00BF6421">
      <w:pPr>
        <w:ind w:hanging="2"/>
        <w:rPr>
          <w:rFonts w:eastAsia="Times New Roman"/>
          <w:i/>
          <w:sz w:val="20"/>
          <w:szCs w:val="20"/>
          <w:lang w:eastAsia="en-ID"/>
        </w:rPr>
      </w:pPr>
      <w:r w:rsidRPr="00550B85">
        <w:rPr>
          <w:rFonts w:eastAsia="Times New Roman"/>
          <w:i/>
          <w:sz w:val="20"/>
          <w:szCs w:val="20"/>
          <w:lang w:eastAsia="en-ID"/>
        </w:rPr>
        <w:t>Uji Korelasi</w:t>
      </w:r>
    </w:p>
    <w:p w:rsidR="00BF6421" w:rsidRPr="00550B85" w:rsidRDefault="00BF6421" w:rsidP="00BF6421">
      <w:pPr>
        <w:ind w:hanging="2"/>
        <w:rPr>
          <w:rFonts w:eastAsia="Times New Roman"/>
          <w:lang w:eastAsia="en-ID"/>
        </w:rPr>
      </w:pPr>
    </w:p>
    <w:tbl>
      <w:tblPr>
        <w:tblW w:w="0" w:type="auto"/>
        <w:tblLook w:val="04A0" w:firstRow="1" w:lastRow="0" w:firstColumn="1" w:lastColumn="0" w:noHBand="0" w:noVBand="1"/>
      </w:tblPr>
      <w:tblGrid>
        <w:gridCol w:w="2310"/>
        <w:gridCol w:w="2310"/>
        <w:gridCol w:w="2311"/>
        <w:gridCol w:w="2311"/>
      </w:tblGrid>
      <w:tr w:rsidR="00BF6421" w:rsidRPr="00550B85" w:rsidTr="00BB4174">
        <w:tc>
          <w:tcPr>
            <w:tcW w:w="2310"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Uji korelasi</w:t>
            </w:r>
          </w:p>
        </w:tc>
        <w:tc>
          <w:tcPr>
            <w:tcW w:w="2310" w:type="dxa"/>
            <w:tcBorders>
              <w:top w:val="single" w:sz="4" w:space="0" w:color="auto"/>
              <w:bottom w:val="single" w:sz="4" w:space="0" w:color="auto"/>
            </w:tcBorders>
          </w:tcPr>
          <w:p w:rsidR="00BF6421" w:rsidRPr="00550B85" w:rsidRDefault="00BF6421" w:rsidP="00BB4174">
            <w:pPr>
              <w:ind w:hanging="2"/>
              <w:jc w:val="center"/>
              <w:rPr>
                <w:rFonts w:eastAsia="Times New Roman"/>
                <w:b/>
                <w:i/>
                <w:iCs/>
              </w:rPr>
            </w:pPr>
            <w:r w:rsidRPr="00550B85">
              <w:rPr>
                <w:rFonts w:eastAsia="Times New Roman"/>
                <w:b/>
                <w:i/>
                <w:iCs/>
              </w:rPr>
              <w:t xml:space="preserve">Spearman’s rho Correlation </w:t>
            </w:r>
          </w:p>
        </w:tc>
        <w:tc>
          <w:tcPr>
            <w:tcW w:w="2311"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Sig</w:t>
            </w:r>
          </w:p>
        </w:tc>
        <w:tc>
          <w:tcPr>
            <w:tcW w:w="2311" w:type="dxa"/>
            <w:tcBorders>
              <w:top w:val="single" w:sz="4" w:space="0" w:color="auto"/>
              <w:bottom w:val="single" w:sz="4" w:space="0" w:color="auto"/>
            </w:tcBorders>
          </w:tcPr>
          <w:p w:rsidR="00BF6421" w:rsidRPr="00550B85" w:rsidRDefault="00BF6421" w:rsidP="00BB4174">
            <w:pPr>
              <w:ind w:hanging="2"/>
              <w:jc w:val="center"/>
              <w:rPr>
                <w:rFonts w:eastAsia="Times New Roman"/>
                <w:b/>
              </w:rPr>
            </w:pPr>
            <w:r w:rsidRPr="00550B85">
              <w:rPr>
                <w:rFonts w:eastAsia="Times New Roman"/>
                <w:b/>
              </w:rPr>
              <w:t>keterangan</w:t>
            </w:r>
          </w:p>
        </w:tc>
      </w:tr>
      <w:tr w:rsidR="00BF6421" w:rsidRPr="00550B85" w:rsidTr="00BB4174">
        <w:tc>
          <w:tcPr>
            <w:tcW w:w="2310" w:type="dxa"/>
            <w:tcBorders>
              <w:top w:val="single" w:sz="4" w:space="0" w:color="auto"/>
            </w:tcBorders>
          </w:tcPr>
          <w:p w:rsidR="00BF6421" w:rsidRPr="00550B85" w:rsidRDefault="00BF6421" w:rsidP="00BB4174">
            <w:pPr>
              <w:ind w:hanging="2"/>
              <w:jc w:val="center"/>
              <w:rPr>
                <w:rFonts w:eastAsia="Times New Roman"/>
                <w:bCs/>
                <w:i/>
                <w:iCs/>
              </w:rPr>
            </w:pPr>
            <w:r w:rsidRPr="00550B85">
              <w:rPr>
                <w:rFonts w:eastAsia="Times New Roman"/>
                <w:bCs/>
                <w:i/>
                <w:iCs/>
              </w:rPr>
              <w:t>Academic Bouyancy – School Adjustment</w:t>
            </w:r>
          </w:p>
        </w:tc>
        <w:tc>
          <w:tcPr>
            <w:tcW w:w="2310" w:type="dxa"/>
            <w:tcBorders>
              <w:top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0.396</w:t>
            </w:r>
          </w:p>
        </w:tc>
        <w:tc>
          <w:tcPr>
            <w:tcW w:w="2311" w:type="dxa"/>
            <w:tcBorders>
              <w:top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0.000</w:t>
            </w:r>
          </w:p>
        </w:tc>
        <w:tc>
          <w:tcPr>
            <w:tcW w:w="2311" w:type="dxa"/>
            <w:tcBorders>
              <w:top w:val="single" w:sz="4" w:space="0" w:color="auto"/>
            </w:tcBorders>
          </w:tcPr>
          <w:p w:rsidR="00BF6421" w:rsidRPr="00550B85" w:rsidRDefault="00BF6421" w:rsidP="00BA6264">
            <w:pPr>
              <w:ind w:hanging="2"/>
              <w:jc w:val="center"/>
              <w:rPr>
                <w:rFonts w:eastAsia="Times New Roman"/>
                <w:bCs/>
              </w:rPr>
            </w:pPr>
            <w:r w:rsidRPr="00550B85">
              <w:rPr>
                <w:rFonts w:eastAsia="Times New Roman"/>
                <w:bCs/>
              </w:rPr>
              <w:t xml:space="preserve">Berkorelasi </w:t>
            </w:r>
          </w:p>
        </w:tc>
      </w:tr>
      <w:tr w:rsidR="00BF6421" w:rsidRPr="00550B85" w:rsidTr="00BB4174">
        <w:tc>
          <w:tcPr>
            <w:tcW w:w="2310" w:type="dxa"/>
            <w:tcBorders>
              <w:bottom w:val="single" w:sz="4" w:space="0" w:color="auto"/>
            </w:tcBorders>
          </w:tcPr>
          <w:p w:rsidR="00BF6421" w:rsidRPr="00550B85" w:rsidRDefault="00BF6421" w:rsidP="00BB4174">
            <w:pPr>
              <w:ind w:hanging="2"/>
              <w:jc w:val="center"/>
              <w:rPr>
                <w:rFonts w:eastAsia="Times New Roman"/>
                <w:bCs/>
                <w:i/>
                <w:iCs/>
              </w:rPr>
            </w:pPr>
            <w:r w:rsidRPr="00550B85">
              <w:rPr>
                <w:rFonts w:eastAsia="Times New Roman"/>
                <w:bCs/>
                <w:i/>
                <w:iCs/>
              </w:rPr>
              <w:t>Self-Regulater Learning – School Adjustment</w:t>
            </w:r>
          </w:p>
        </w:tc>
        <w:tc>
          <w:tcPr>
            <w:tcW w:w="2310" w:type="dxa"/>
            <w:tcBorders>
              <w:bottom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0.128</w:t>
            </w:r>
          </w:p>
        </w:tc>
        <w:tc>
          <w:tcPr>
            <w:tcW w:w="2311" w:type="dxa"/>
            <w:tcBorders>
              <w:bottom w:val="single" w:sz="4" w:space="0" w:color="auto"/>
            </w:tcBorders>
          </w:tcPr>
          <w:p w:rsidR="00BF6421" w:rsidRPr="00550B85" w:rsidRDefault="00BF6421" w:rsidP="00BB4174">
            <w:pPr>
              <w:ind w:hanging="2"/>
              <w:jc w:val="center"/>
              <w:rPr>
                <w:rFonts w:eastAsia="Times New Roman"/>
                <w:bCs/>
              </w:rPr>
            </w:pPr>
            <w:r w:rsidRPr="00550B85">
              <w:rPr>
                <w:rFonts w:eastAsia="Times New Roman"/>
                <w:bCs/>
              </w:rPr>
              <w:t>0.075</w:t>
            </w:r>
          </w:p>
        </w:tc>
        <w:tc>
          <w:tcPr>
            <w:tcW w:w="2311" w:type="dxa"/>
            <w:tcBorders>
              <w:bottom w:val="single" w:sz="4" w:space="0" w:color="auto"/>
            </w:tcBorders>
          </w:tcPr>
          <w:p w:rsidR="00BF6421" w:rsidRPr="00550B85" w:rsidRDefault="008938AC" w:rsidP="00BA6264">
            <w:pPr>
              <w:ind w:hanging="2"/>
              <w:jc w:val="center"/>
              <w:rPr>
                <w:rFonts w:eastAsia="Times New Roman"/>
                <w:bCs/>
              </w:rPr>
            </w:pPr>
            <w:r>
              <w:rPr>
                <w:rFonts w:eastAsia="Times New Roman"/>
                <w:bCs/>
                <w:lang w:val="en-US"/>
              </w:rPr>
              <w:t xml:space="preserve">Tidak </w:t>
            </w:r>
            <w:r w:rsidR="00BA6264">
              <w:rPr>
                <w:rFonts w:eastAsia="Times New Roman"/>
                <w:bCs/>
                <w:lang w:val="en-US"/>
              </w:rPr>
              <w:t>B</w:t>
            </w:r>
            <w:r w:rsidR="00BF6421" w:rsidRPr="00550B85">
              <w:rPr>
                <w:rFonts w:eastAsia="Times New Roman"/>
                <w:bCs/>
              </w:rPr>
              <w:t xml:space="preserve">erkorelasi </w:t>
            </w:r>
          </w:p>
        </w:tc>
      </w:tr>
    </w:tbl>
    <w:p w:rsidR="00BF6421" w:rsidRPr="00550B85" w:rsidRDefault="00BF6421" w:rsidP="00BF6421">
      <w:pPr>
        <w:ind w:hanging="2"/>
        <w:jc w:val="both"/>
        <w:rPr>
          <w:rFonts w:eastAsia="Times New Roman"/>
          <w:sz w:val="20"/>
          <w:szCs w:val="20"/>
          <w:lang w:eastAsia="en-ID"/>
        </w:rPr>
      </w:pPr>
    </w:p>
    <w:p w:rsidR="00BF6421" w:rsidRPr="00550B85" w:rsidRDefault="00BF6421" w:rsidP="00BF6421">
      <w:pPr>
        <w:ind w:firstLine="720"/>
        <w:jc w:val="both"/>
        <w:rPr>
          <w:rFonts w:eastAsia="Times New Roman"/>
          <w:lang w:eastAsia="en-ID"/>
        </w:rPr>
      </w:pPr>
      <w:r w:rsidRPr="00550B85">
        <w:rPr>
          <w:rFonts w:eastAsia="Times New Roman"/>
          <w:lang w:eastAsia="en-ID"/>
        </w:rPr>
        <w:t>Hasil analisis b</w:t>
      </w:r>
      <w:r w:rsidRPr="00550B85">
        <w:t>e</w:t>
      </w:r>
      <w:r w:rsidRPr="00550B85">
        <w:rPr>
          <w:color w:val="000000"/>
          <w:spacing w:val="-20"/>
          <w:w w:val="1"/>
        </w:rPr>
        <w:t>i</w:t>
      </w:r>
      <w:r w:rsidRPr="00550B85">
        <w:rPr>
          <w:rFonts w:eastAsia="Times New Roman"/>
          <w:lang w:eastAsia="en-ID"/>
        </w:rPr>
        <w:t>rdasarkan tab</w:t>
      </w:r>
      <w:r w:rsidRPr="00550B85">
        <w:t>e</w:t>
      </w:r>
      <w:r w:rsidRPr="00550B85">
        <w:rPr>
          <w:color w:val="000000"/>
          <w:spacing w:val="-20"/>
          <w:w w:val="1"/>
        </w:rPr>
        <w:t>i</w:t>
      </w:r>
      <w:r w:rsidRPr="00550B85">
        <w:rPr>
          <w:rFonts w:eastAsia="Times New Roman"/>
          <w:lang w:eastAsia="en-ID"/>
        </w:rPr>
        <w:t>l 3 dik</w:t>
      </w:r>
      <w:r w:rsidRPr="00550B85">
        <w:t>e</w:t>
      </w:r>
      <w:r w:rsidRPr="00550B85">
        <w:rPr>
          <w:color w:val="000000"/>
          <w:spacing w:val="-20"/>
          <w:w w:val="1"/>
        </w:rPr>
        <w:t>i</w:t>
      </w:r>
      <w:r w:rsidRPr="00550B85">
        <w:rPr>
          <w:rFonts w:eastAsia="Times New Roman"/>
          <w:lang w:eastAsia="en-ID"/>
        </w:rPr>
        <w:t>tahui bahwa nilai ko</w:t>
      </w:r>
      <w:r w:rsidRPr="00550B85">
        <w:t>e</w:t>
      </w:r>
      <w:r w:rsidRPr="00550B85">
        <w:rPr>
          <w:color w:val="000000"/>
          <w:spacing w:val="-20"/>
          <w:w w:val="1"/>
        </w:rPr>
        <w:t>i</w:t>
      </w:r>
      <w:r w:rsidRPr="00550B85">
        <w:rPr>
          <w:rFonts w:eastAsia="Times New Roman"/>
          <w:lang w:eastAsia="en-ID"/>
        </w:rPr>
        <w:t>fisien</w:t>
      </w:r>
      <w:r w:rsidRPr="00550B85">
        <w:rPr>
          <w:rFonts w:eastAsia="Times New Roman"/>
          <w:color w:val="FFFFFF"/>
          <w:lang w:eastAsia="en-ID"/>
        </w:rPr>
        <w:t xml:space="preserve"> </w:t>
      </w:r>
      <w:r w:rsidRPr="00550B85">
        <w:rPr>
          <w:rFonts w:eastAsia="Times New Roman"/>
          <w:lang w:eastAsia="en-ID"/>
        </w:rPr>
        <w:t>korelasi r</w:t>
      </w:r>
      <w:r w:rsidRPr="00550B85">
        <w:rPr>
          <w:rFonts w:eastAsia="Times New Roman"/>
          <w:vertAlign w:val="subscript"/>
          <w:lang w:eastAsia="en-ID"/>
        </w:rPr>
        <w:t>x1y</w:t>
      </w:r>
      <w:r w:rsidRPr="00550B85">
        <w:rPr>
          <w:rFonts w:eastAsia="Times New Roman"/>
          <w:lang w:eastAsia="en-ID"/>
        </w:rPr>
        <w:t xml:space="preserve"> = 0,396 d</w:t>
      </w:r>
      <w:r w:rsidRPr="00550B85">
        <w:t>e</w:t>
      </w:r>
      <w:r w:rsidRPr="00550B85">
        <w:rPr>
          <w:color w:val="000000"/>
          <w:spacing w:val="-20"/>
          <w:w w:val="1"/>
        </w:rPr>
        <w:t>i</w:t>
      </w:r>
      <w:r w:rsidRPr="00550B85">
        <w:rPr>
          <w:rFonts w:eastAsia="Times New Roman"/>
          <w:lang w:eastAsia="en-ID"/>
        </w:rPr>
        <w:t xml:space="preserve">ngan nilai signifikansinya 0,000 (p &lt; 0.05). Maka dapat diartikan adanya hubungan positif yang signigikan antara </w:t>
      </w:r>
      <w:r w:rsidRPr="00550B85">
        <w:rPr>
          <w:rFonts w:eastAsia="Times New Roman"/>
          <w:i/>
          <w:lang w:eastAsia="en-ID"/>
        </w:rPr>
        <w:t xml:space="preserve">academic bouyancy </w:t>
      </w:r>
      <w:r w:rsidRPr="00550B85">
        <w:rPr>
          <w:rFonts w:eastAsia="Times New Roman"/>
          <w:lang w:eastAsia="en-ID"/>
        </w:rPr>
        <w:t xml:space="preserve">dengan </w:t>
      </w:r>
      <w:r w:rsidRPr="00550B85">
        <w:rPr>
          <w:rFonts w:eastAsia="Times New Roman"/>
          <w:i/>
          <w:lang w:eastAsia="en-ID"/>
        </w:rPr>
        <w:t>school adjustment</w:t>
      </w:r>
      <w:r w:rsidRPr="00550B85">
        <w:rPr>
          <w:rFonts w:eastAsia="Times New Roman"/>
          <w:lang w:eastAsia="en-ID"/>
        </w:rPr>
        <w:t xml:space="preserve">. Jadi semakin tinggi </w:t>
      </w:r>
      <w:r w:rsidRPr="00550B85">
        <w:rPr>
          <w:rFonts w:eastAsia="Times New Roman"/>
          <w:i/>
          <w:lang w:eastAsia="en-ID"/>
        </w:rPr>
        <w:t xml:space="preserve">academic bouyancy </w:t>
      </w:r>
      <w:r w:rsidRPr="00550B85">
        <w:rPr>
          <w:rFonts w:eastAsia="Times New Roman"/>
          <w:lang w:eastAsia="en-ID"/>
        </w:rPr>
        <w:t xml:space="preserve">maka akan semakin tinggi juga </w:t>
      </w:r>
      <w:r w:rsidRPr="00550B85">
        <w:rPr>
          <w:rFonts w:eastAsia="Times New Roman"/>
          <w:i/>
          <w:lang w:eastAsia="en-ID"/>
        </w:rPr>
        <w:t>school adjustment</w:t>
      </w:r>
      <w:r w:rsidRPr="00550B85">
        <w:rPr>
          <w:rFonts w:eastAsia="Times New Roman"/>
          <w:lang w:eastAsia="en-ID"/>
        </w:rPr>
        <w:t xml:space="preserve"> yang dimiliki oleh santri, sebaliknya semakin rendah </w:t>
      </w:r>
      <w:r w:rsidRPr="00550B85">
        <w:rPr>
          <w:rFonts w:eastAsia="Times New Roman"/>
          <w:i/>
          <w:lang w:eastAsia="en-ID"/>
        </w:rPr>
        <w:t xml:space="preserve">academic bouyancy </w:t>
      </w:r>
      <w:r w:rsidRPr="00550B85">
        <w:rPr>
          <w:rFonts w:eastAsia="Times New Roman"/>
          <w:lang w:eastAsia="en-ID"/>
        </w:rPr>
        <w:t xml:space="preserve">maka akan semakin rendah juga </w:t>
      </w:r>
      <w:r w:rsidRPr="00550B85">
        <w:rPr>
          <w:rFonts w:eastAsia="Times New Roman"/>
          <w:i/>
          <w:lang w:eastAsia="en-ID"/>
        </w:rPr>
        <w:t>school adjustment</w:t>
      </w:r>
      <w:r w:rsidRPr="00550B85">
        <w:rPr>
          <w:rFonts w:eastAsia="Times New Roman"/>
          <w:lang w:eastAsia="en-ID"/>
        </w:rPr>
        <w:t xml:space="preserve"> yang dimiliki. Nilai dari koefisien</w:t>
      </w:r>
      <w:r w:rsidRPr="00550B85">
        <w:rPr>
          <w:rFonts w:eastAsia="Times New Roman"/>
          <w:color w:val="FFFFFF"/>
          <w:lang w:eastAsia="en-ID"/>
        </w:rPr>
        <w:t xml:space="preserve"> </w:t>
      </w:r>
      <w:r w:rsidRPr="00550B85">
        <w:rPr>
          <w:rFonts w:eastAsia="Times New Roman"/>
          <w:lang w:eastAsia="en-ID"/>
        </w:rPr>
        <w:t>korelasi r</w:t>
      </w:r>
      <w:r w:rsidRPr="00550B85">
        <w:rPr>
          <w:rFonts w:eastAsia="Times New Roman"/>
          <w:vertAlign w:val="subscript"/>
          <w:lang w:eastAsia="en-ID"/>
        </w:rPr>
        <w:t>x2y</w:t>
      </w:r>
      <w:r w:rsidRPr="00550B85">
        <w:rPr>
          <w:rFonts w:eastAsia="Times New Roman"/>
          <w:lang w:eastAsia="en-ID"/>
        </w:rPr>
        <w:t xml:space="preserve"> = 0,128 dengan nilai </w:t>
      </w:r>
      <w:r w:rsidRPr="00550B85">
        <w:rPr>
          <w:rFonts w:eastAsia="Times New Roman"/>
          <w:lang w:eastAsia="en-ID"/>
        </w:rPr>
        <w:lastRenderedPageBreak/>
        <w:t>signifikansinya 0,075 (p &gt; 0.05). Maka dapat disimpulkan</w:t>
      </w:r>
      <w:r w:rsidR="00BA6264">
        <w:rPr>
          <w:rFonts w:eastAsia="Times New Roman"/>
          <w:lang w:val="en-US" w:eastAsia="en-ID"/>
        </w:rPr>
        <w:t xml:space="preserve"> bahwa</w:t>
      </w:r>
      <w:r w:rsidR="008938AC">
        <w:rPr>
          <w:rFonts w:eastAsia="Times New Roman"/>
          <w:lang w:val="en-US" w:eastAsia="en-ID"/>
        </w:rPr>
        <w:t xml:space="preserve"> </w:t>
      </w:r>
      <w:r w:rsidRPr="00550B85">
        <w:rPr>
          <w:rFonts w:eastAsia="Times New Roman"/>
          <w:lang w:eastAsia="en-ID"/>
        </w:rPr>
        <w:t xml:space="preserve">adanya hubungan positif yang tidak signifikan antara </w:t>
      </w:r>
      <w:r w:rsidRPr="00550B85">
        <w:rPr>
          <w:rFonts w:eastAsia="Times New Roman"/>
          <w:i/>
          <w:lang w:eastAsia="en-ID"/>
        </w:rPr>
        <w:t>self-regulated learning</w:t>
      </w:r>
      <w:r w:rsidRPr="00550B85">
        <w:rPr>
          <w:rFonts w:eastAsia="Times New Roman"/>
          <w:lang w:eastAsia="en-ID"/>
        </w:rPr>
        <w:t xml:space="preserve"> dengan </w:t>
      </w:r>
      <w:r w:rsidRPr="00550B85">
        <w:rPr>
          <w:rFonts w:eastAsia="Times New Roman"/>
          <w:i/>
          <w:lang w:eastAsia="en-ID"/>
        </w:rPr>
        <w:t>school adjustment</w:t>
      </w:r>
      <w:r w:rsidRPr="00550B85">
        <w:rPr>
          <w:rFonts w:eastAsia="Times New Roman"/>
          <w:lang w:eastAsia="en-ID"/>
        </w:rPr>
        <w:t xml:space="preserve">. Jadi semakin tinggi </w:t>
      </w:r>
      <w:r w:rsidRPr="00550B85">
        <w:rPr>
          <w:rFonts w:eastAsia="Times New Roman"/>
          <w:i/>
          <w:lang w:eastAsia="en-ID"/>
        </w:rPr>
        <w:t>self-regulated learning</w:t>
      </w:r>
      <w:r w:rsidRPr="00550B85">
        <w:rPr>
          <w:rFonts w:eastAsia="Times New Roman"/>
          <w:lang w:eastAsia="en-ID"/>
        </w:rPr>
        <w:t xml:space="preserve"> </w:t>
      </w:r>
      <w:r w:rsidR="008938AC">
        <w:rPr>
          <w:rFonts w:eastAsia="Times New Roman"/>
          <w:lang w:val="en-US" w:eastAsia="en-ID"/>
        </w:rPr>
        <w:t xml:space="preserve">tidak menjadi faktor utama </w:t>
      </w:r>
      <w:r w:rsidRPr="00550B85">
        <w:rPr>
          <w:rFonts w:eastAsia="Times New Roman"/>
          <w:lang w:eastAsia="en-ID"/>
        </w:rPr>
        <w:t>semakin tinggi</w:t>
      </w:r>
      <w:r w:rsidR="008938AC">
        <w:rPr>
          <w:rFonts w:eastAsia="Times New Roman"/>
          <w:lang w:val="en-US" w:eastAsia="en-ID"/>
        </w:rPr>
        <w:t xml:space="preserve"> nya</w:t>
      </w:r>
      <w:r w:rsidRPr="00550B85">
        <w:rPr>
          <w:rFonts w:eastAsia="Times New Roman"/>
          <w:lang w:eastAsia="en-ID"/>
        </w:rPr>
        <w:t xml:space="preserve"> </w:t>
      </w:r>
      <w:r w:rsidRPr="00550B85">
        <w:rPr>
          <w:rFonts w:eastAsia="Times New Roman"/>
          <w:i/>
          <w:lang w:eastAsia="en-ID"/>
        </w:rPr>
        <w:t>school adjustment</w:t>
      </w:r>
      <w:r w:rsidR="008938AC">
        <w:rPr>
          <w:rFonts w:eastAsia="Times New Roman"/>
          <w:lang w:eastAsia="en-ID"/>
        </w:rPr>
        <w:t xml:space="preserve"> yang dimiliki oleh santri</w:t>
      </w:r>
      <w:r w:rsidRPr="00550B85">
        <w:rPr>
          <w:rFonts w:eastAsia="Times New Roman"/>
          <w:lang w:eastAsia="en-ID"/>
        </w:rPr>
        <w:t>.</w:t>
      </w:r>
    </w:p>
    <w:p w:rsidR="00BF6421" w:rsidRPr="00550B85" w:rsidRDefault="00BF6421" w:rsidP="00BF6421">
      <w:pPr>
        <w:ind w:hanging="2"/>
        <w:jc w:val="both"/>
        <w:rPr>
          <w:rFonts w:eastAsia="Times New Roman"/>
          <w:lang w:eastAsia="en-ID"/>
        </w:rPr>
      </w:pP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Tabel 4</w:t>
      </w:r>
    </w:p>
    <w:p w:rsidR="00BF6421" w:rsidRPr="00550B85" w:rsidRDefault="00BF6421" w:rsidP="00BF6421">
      <w:pPr>
        <w:ind w:hanging="2"/>
        <w:rPr>
          <w:rFonts w:eastAsia="Times New Roman"/>
          <w:i/>
          <w:sz w:val="20"/>
          <w:szCs w:val="20"/>
          <w:lang w:eastAsia="en-ID"/>
        </w:rPr>
      </w:pPr>
      <w:r w:rsidRPr="00550B85">
        <w:rPr>
          <w:rFonts w:eastAsia="Times New Roman"/>
          <w:i/>
          <w:sz w:val="20"/>
          <w:szCs w:val="20"/>
          <w:lang w:eastAsia="en-ID"/>
        </w:rPr>
        <w:t>Uji Regresi</w:t>
      </w:r>
    </w:p>
    <w:p w:rsidR="00BF6421" w:rsidRPr="00550B85" w:rsidRDefault="00BF6421" w:rsidP="00BF6421">
      <w:pPr>
        <w:autoSpaceDE w:val="0"/>
        <w:autoSpaceDN w:val="0"/>
        <w:adjustRightInd w:val="0"/>
        <w:ind w:hanging="2"/>
        <w:rPr>
          <w:i/>
        </w:rPr>
      </w:pPr>
    </w:p>
    <w:tbl>
      <w:tblPr>
        <w:tblW w:w="7969" w:type="dxa"/>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BF6421" w:rsidRPr="001D239C" w:rsidTr="00BB4174">
        <w:trPr>
          <w:cantSplit/>
        </w:trPr>
        <w:tc>
          <w:tcPr>
            <w:tcW w:w="7965" w:type="dxa"/>
            <w:gridSpan w:val="7"/>
            <w:tcBorders>
              <w:top w:val="single" w:sz="4" w:space="0" w:color="auto"/>
              <w:bottom w:val="single" w:sz="4" w:space="0" w:color="auto"/>
            </w:tcBorders>
            <w:shd w:val="clear" w:color="auto" w:fill="auto"/>
            <w:vAlign w:val="center"/>
          </w:tcPr>
          <w:p w:rsidR="00BF6421" w:rsidRPr="001D239C" w:rsidRDefault="00BF6421" w:rsidP="00BB4174">
            <w:pPr>
              <w:autoSpaceDE w:val="0"/>
              <w:autoSpaceDN w:val="0"/>
              <w:adjustRightInd w:val="0"/>
              <w:ind w:left="60" w:right="60"/>
              <w:jc w:val="center"/>
              <w:rPr>
                <w:rFonts w:ascii="Arial" w:hAnsi="Arial" w:cs="Arial"/>
              </w:rPr>
            </w:pPr>
            <w:r w:rsidRPr="001D239C">
              <w:rPr>
                <w:rFonts w:ascii="Arial" w:hAnsi="Arial" w:cs="Arial"/>
                <w:b/>
                <w:bCs/>
              </w:rPr>
              <w:t>ANOVA</w:t>
            </w:r>
            <w:r w:rsidRPr="001D239C">
              <w:rPr>
                <w:rFonts w:ascii="Arial" w:hAnsi="Arial" w:cs="Arial"/>
                <w:b/>
                <w:bCs/>
                <w:vertAlign w:val="superscript"/>
              </w:rPr>
              <w:t>a</w:t>
            </w:r>
          </w:p>
        </w:tc>
      </w:tr>
      <w:tr w:rsidR="00BF6421" w:rsidRPr="001D239C" w:rsidTr="00BB4174">
        <w:trPr>
          <w:cantSplit/>
        </w:trPr>
        <w:tc>
          <w:tcPr>
            <w:tcW w:w="2018" w:type="dxa"/>
            <w:gridSpan w:val="2"/>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Model</w:t>
            </w:r>
          </w:p>
        </w:tc>
        <w:tc>
          <w:tcPr>
            <w:tcW w:w="1468" w:type="dxa"/>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jc w:val="center"/>
              <w:rPr>
                <w:rFonts w:ascii="Arial" w:hAnsi="Arial" w:cs="Arial"/>
                <w:sz w:val="18"/>
                <w:szCs w:val="18"/>
              </w:rPr>
            </w:pPr>
            <w:r w:rsidRPr="001D239C">
              <w:rPr>
                <w:rFonts w:ascii="Arial" w:hAnsi="Arial" w:cs="Arial"/>
                <w:sz w:val="18"/>
                <w:szCs w:val="18"/>
              </w:rPr>
              <w:t>Sum of Squares</w:t>
            </w:r>
          </w:p>
        </w:tc>
        <w:tc>
          <w:tcPr>
            <w:tcW w:w="1024" w:type="dxa"/>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jc w:val="center"/>
              <w:rPr>
                <w:rFonts w:ascii="Arial" w:hAnsi="Arial" w:cs="Arial"/>
                <w:sz w:val="18"/>
                <w:szCs w:val="18"/>
              </w:rPr>
            </w:pPr>
            <w:r w:rsidRPr="001D239C">
              <w:rPr>
                <w:rFonts w:ascii="Arial" w:hAnsi="Arial" w:cs="Arial"/>
                <w:sz w:val="18"/>
                <w:szCs w:val="18"/>
              </w:rPr>
              <w:t>df</w:t>
            </w:r>
          </w:p>
        </w:tc>
        <w:tc>
          <w:tcPr>
            <w:tcW w:w="1407" w:type="dxa"/>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jc w:val="center"/>
              <w:rPr>
                <w:rFonts w:ascii="Arial" w:hAnsi="Arial" w:cs="Arial"/>
                <w:sz w:val="18"/>
                <w:szCs w:val="18"/>
              </w:rPr>
            </w:pPr>
            <w:r w:rsidRPr="001D239C">
              <w:rPr>
                <w:rFonts w:ascii="Arial" w:hAnsi="Arial" w:cs="Arial"/>
                <w:sz w:val="18"/>
                <w:szCs w:val="18"/>
              </w:rPr>
              <w:t>Mean Square</w:t>
            </w:r>
          </w:p>
        </w:tc>
        <w:tc>
          <w:tcPr>
            <w:tcW w:w="1024" w:type="dxa"/>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jc w:val="center"/>
              <w:rPr>
                <w:rFonts w:ascii="Arial" w:hAnsi="Arial" w:cs="Arial"/>
                <w:sz w:val="18"/>
                <w:szCs w:val="18"/>
              </w:rPr>
            </w:pPr>
            <w:r w:rsidRPr="001D239C">
              <w:rPr>
                <w:rFonts w:ascii="Arial" w:hAnsi="Arial" w:cs="Arial"/>
                <w:sz w:val="18"/>
                <w:szCs w:val="18"/>
              </w:rPr>
              <w:t>F</w:t>
            </w:r>
          </w:p>
        </w:tc>
        <w:tc>
          <w:tcPr>
            <w:tcW w:w="1024" w:type="dxa"/>
            <w:tcBorders>
              <w:top w:val="single" w:sz="4" w:space="0" w:color="auto"/>
            </w:tcBorders>
            <w:shd w:val="clear" w:color="auto" w:fill="auto"/>
            <w:vAlign w:val="bottom"/>
          </w:tcPr>
          <w:p w:rsidR="00BF6421" w:rsidRPr="001D239C" w:rsidRDefault="00BF6421" w:rsidP="00BB4174">
            <w:pPr>
              <w:autoSpaceDE w:val="0"/>
              <w:autoSpaceDN w:val="0"/>
              <w:adjustRightInd w:val="0"/>
              <w:ind w:left="60" w:right="60"/>
              <w:jc w:val="center"/>
              <w:rPr>
                <w:rFonts w:ascii="Arial" w:hAnsi="Arial" w:cs="Arial"/>
                <w:sz w:val="18"/>
                <w:szCs w:val="18"/>
              </w:rPr>
            </w:pPr>
            <w:r w:rsidRPr="001D239C">
              <w:rPr>
                <w:rFonts w:ascii="Arial" w:hAnsi="Arial" w:cs="Arial"/>
                <w:sz w:val="18"/>
                <w:szCs w:val="18"/>
              </w:rPr>
              <w:t>Sig.</w:t>
            </w:r>
          </w:p>
        </w:tc>
      </w:tr>
      <w:tr w:rsidR="00BF6421" w:rsidRPr="001D239C" w:rsidTr="00BB4174">
        <w:trPr>
          <w:cantSplit/>
        </w:trPr>
        <w:tc>
          <w:tcPr>
            <w:tcW w:w="734" w:type="dxa"/>
            <w:vMerge w:val="restart"/>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1</w:t>
            </w:r>
          </w:p>
        </w:tc>
        <w:tc>
          <w:tcPr>
            <w:tcW w:w="1284" w:type="dxa"/>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Regression</w:t>
            </w:r>
          </w:p>
        </w:tc>
        <w:tc>
          <w:tcPr>
            <w:tcW w:w="1468"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7272.551</w:t>
            </w:r>
          </w:p>
        </w:tc>
        <w:tc>
          <w:tcPr>
            <w:tcW w:w="1024"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2</w:t>
            </w:r>
          </w:p>
        </w:tc>
        <w:tc>
          <w:tcPr>
            <w:tcW w:w="1407"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3636.276</w:t>
            </w:r>
          </w:p>
        </w:tc>
        <w:tc>
          <w:tcPr>
            <w:tcW w:w="1024"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17.193</w:t>
            </w:r>
          </w:p>
        </w:tc>
        <w:tc>
          <w:tcPr>
            <w:tcW w:w="1024"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.000</w:t>
            </w:r>
            <w:r w:rsidRPr="001D239C">
              <w:rPr>
                <w:rFonts w:ascii="Arial" w:hAnsi="Arial" w:cs="Arial"/>
                <w:sz w:val="18"/>
                <w:szCs w:val="18"/>
                <w:vertAlign w:val="superscript"/>
              </w:rPr>
              <w:t>b</w:t>
            </w:r>
          </w:p>
        </w:tc>
      </w:tr>
      <w:tr w:rsidR="00BF6421" w:rsidRPr="001D239C" w:rsidTr="00BB4174">
        <w:trPr>
          <w:cantSplit/>
        </w:trPr>
        <w:tc>
          <w:tcPr>
            <w:tcW w:w="734" w:type="dxa"/>
            <w:vMerge/>
            <w:shd w:val="clear" w:color="auto" w:fill="auto"/>
          </w:tcPr>
          <w:p w:rsidR="00BF6421" w:rsidRPr="001D239C" w:rsidRDefault="00BF6421" w:rsidP="00BB4174">
            <w:pPr>
              <w:autoSpaceDE w:val="0"/>
              <w:autoSpaceDN w:val="0"/>
              <w:adjustRightInd w:val="0"/>
              <w:rPr>
                <w:rFonts w:ascii="Arial" w:hAnsi="Arial" w:cs="Arial"/>
                <w:sz w:val="18"/>
                <w:szCs w:val="18"/>
              </w:rPr>
            </w:pPr>
          </w:p>
        </w:tc>
        <w:tc>
          <w:tcPr>
            <w:tcW w:w="1284" w:type="dxa"/>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Residual</w:t>
            </w:r>
          </w:p>
        </w:tc>
        <w:tc>
          <w:tcPr>
            <w:tcW w:w="1468"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40607.582</w:t>
            </w:r>
          </w:p>
        </w:tc>
        <w:tc>
          <w:tcPr>
            <w:tcW w:w="1024"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192</w:t>
            </w:r>
          </w:p>
        </w:tc>
        <w:tc>
          <w:tcPr>
            <w:tcW w:w="1407" w:type="dxa"/>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211.498</w:t>
            </w:r>
          </w:p>
        </w:tc>
        <w:tc>
          <w:tcPr>
            <w:tcW w:w="1024" w:type="dxa"/>
            <w:shd w:val="clear" w:color="auto" w:fill="auto"/>
            <w:vAlign w:val="center"/>
          </w:tcPr>
          <w:p w:rsidR="00BF6421" w:rsidRPr="001D239C" w:rsidRDefault="00BF6421" w:rsidP="00BB4174">
            <w:pPr>
              <w:autoSpaceDE w:val="0"/>
              <w:autoSpaceDN w:val="0"/>
              <w:adjustRightInd w:val="0"/>
            </w:pPr>
          </w:p>
        </w:tc>
        <w:tc>
          <w:tcPr>
            <w:tcW w:w="1024" w:type="dxa"/>
            <w:shd w:val="clear" w:color="auto" w:fill="auto"/>
            <w:vAlign w:val="center"/>
          </w:tcPr>
          <w:p w:rsidR="00BF6421" w:rsidRPr="001D239C" w:rsidRDefault="00BF6421" w:rsidP="00BB4174">
            <w:pPr>
              <w:autoSpaceDE w:val="0"/>
              <w:autoSpaceDN w:val="0"/>
              <w:adjustRightInd w:val="0"/>
            </w:pPr>
          </w:p>
        </w:tc>
      </w:tr>
      <w:tr w:rsidR="00BF6421" w:rsidRPr="001D239C" w:rsidTr="00BB4174">
        <w:trPr>
          <w:cantSplit/>
        </w:trPr>
        <w:tc>
          <w:tcPr>
            <w:tcW w:w="734" w:type="dxa"/>
            <w:vMerge/>
            <w:tcBorders>
              <w:bottom w:val="single" w:sz="4" w:space="0" w:color="auto"/>
            </w:tcBorders>
            <w:shd w:val="clear" w:color="auto" w:fill="auto"/>
          </w:tcPr>
          <w:p w:rsidR="00BF6421" w:rsidRPr="001D239C" w:rsidRDefault="00BF6421" w:rsidP="00BB4174">
            <w:pPr>
              <w:autoSpaceDE w:val="0"/>
              <w:autoSpaceDN w:val="0"/>
              <w:adjustRightInd w:val="0"/>
            </w:pPr>
          </w:p>
        </w:tc>
        <w:tc>
          <w:tcPr>
            <w:tcW w:w="1284" w:type="dxa"/>
            <w:tcBorders>
              <w:bottom w:val="single" w:sz="4" w:space="0" w:color="auto"/>
            </w:tcBorders>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Total</w:t>
            </w:r>
          </w:p>
        </w:tc>
        <w:tc>
          <w:tcPr>
            <w:tcW w:w="1468" w:type="dxa"/>
            <w:tcBorders>
              <w:bottom w:val="single" w:sz="4" w:space="0" w:color="auto"/>
            </w:tcBorders>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47880.133</w:t>
            </w:r>
          </w:p>
        </w:tc>
        <w:tc>
          <w:tcPr>
            <w:tcW w:w="1024" w:type="dxa"/>
            <w:tcBorders>
              <w:bottom w:val="single" w:sz="4" w:space="0" w:color="auto"/>
            </w:tcBorders>
            <w:shd w:val="clear" w:color="auto" w:fill="auto"/>
          </w:tcPr>
          <w:p w:rsidR="00BF6421" w:rsidRPr="001D239C" w:rsidRDefault="00BF6421" w:rsidP="00BB4174">
            <w:pPr>
              <w:autoSpaceDE w:val="0"/>
              <w:autoSpaceDN w:val="0"/>
              <w:adjustRightInd w:val="0"/>
              <w:ind w:left="60" w:right="60"/>
              <w:jc w:val="right"/>
              <w:rPr>
                <w:rFonts w:ascii="Arial" w:hAnsi="Arial" w:cs="Arial"/>
                <w:sz w:val="18"/>
                <w:szCs w:val="18"/>
              </w:rPr>
            </w:pPr>
            <w:r w:rsidRPr="001D239C">
              <w:rPr>
                <w:rFonts w:ascii="Arial" w:hAnsi="Arial" w:cs="Arial"/>
                <w:sz w:val="18"/>
                <w:szCs w:val="18"/>
              </w:rPr>
              <w:t>194</w:t>
            </w:r>
          </w:p>
        </w:tc>
        <w:tc>
          <w:tcPr>
            <w:tcW w:w="1407" w:type="dxa"/>
            <w:tcBorders>
              <w:bottom w:val="single" w:sz="4" w:space="0" w:color="auto"/>
            </w:tcBorders>
            <w:shd w:val="clear" w:color="auto" w:fill="auto"/>
            <w:vAlign w:val="center"/>
          </w:tcPr>
          <w:p w:rsidR="00BF6421" w:rsidRPr="001D239C" w:rsidRDefault="00BF6421" w:rsidP="00BB4174">
            <w:pPr>
              <w:autoSpaceDE w:val="0"/>
              <w:autoSpaceDN w:val="0"/>
              <w:adjustRightInd w:val="0"/>
            </w:pPr>
          </w:p>
        </w:tc>
        <w:tc>
          <w:tcPr>
            <w:tcW w:w="1024" w:type="dxa"/>
            <w:tcBorders>
              <w:bottom w:val="single" w:sz="4" w:space="0" w:color="auto"/>
            </w:tcBorders>
            <w:shd w:val="clear" w:color="auto" w:fill="auto"/>
            <w:vAlign w:val="center"/>
          </w:tcPr>
          <w:p w:rsidR="00BF6421" w:rsidRPr="001D239C" w:rsidRDefault="00BF6421" w:rsidP="00BB4174">
            <w:pPr>
              <w:autoSpaceDE w:val="0"/>
              <w:autoSpaceDN w:val="0"/>
              <w:adjustRightInd w:val="0"/>
            </w:pPr>
          </w:p>
        </w:tc>
        <w:tc>
          <w:tcPr>
            <w:tcW w:w="1024" w:type="dxa"/>
            <w:tcBorders>
              <w:bottom w:val="single" w:sz="4" w:space="0" w:color="auto"/>
            </w:tcBorders>
            <w:shd w:val="clear" w:color="auto" w:fill="auto"/>
            <w:vAlign w:val="center"/>
          </w:tcPr>
          <w:p w:rsidR="00BF6421" w:rsidRPr="001D239C" w:rsidRDefault="00BF6421" w:rsidP="00BB4174">
            <w:pPr>
              <w:autoSpaceDE w:val="0"/>
              <w:autoSpaceDN w:val="0"/>
              <w:adjustRightInd w:val="0"/>
            </w:pPr>
          </w:p>
        </w:tc>
      </w:tr>
      <w:tr w:rsidR="00BF6421" w:rsidRPr="001D239C" w:rsidTr="00BB4174">
        <w:trPr>
          <w:cantSplit/>
        </w:trPr>
        <w:tc>
          <w:tcPr>
            <w:tcW w:w="7965" w:type="dxa"/>
            <w:gridSpan w:val="7"/>
            <w:tcBorders>
              <w:top w:val="single" w:sz="4" w:space="0" w:color="auto"/>
            </w:tcBorders>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a. Dependent Variable: School Adjustment</w:t>
            </w:r>
          </w:p>
        </w:tc>
      </w:tr>
      <w:tr w:rsidR="00BF6421" w:rsidRPr="001D239C" w:rsidTr="00BB4174">
        <w:trPr>
          <w:cantSplit/>
        </w:trPr>
        <w:tc>
          <w:tcPr>
            <w:tcW w:w="7965" w:type="dxa"/>
            <w:gridSpan w:val="7"/>
            <w:shd w:val="clear" w:color="auto" w:fill="auto"/>
          </w:tcPr>
          <w:p w:rsidR="00BF6421" w:rsidRPr="001D239C" w:rsidRDefault="00BF6421" w:rsidP="00BB4174">
            <w:pPr>
              <w:autoSpaceDE w:val="0"/>
              <w:autoSpaceDN w:val="0"/>
              <w:adjustRightInd w:val="0"/>
              <w:ind w:left="60" w:right="60"/>
              <w:rPr>
                <w:rFonts w:ascii="Arial" w:hAnsi="Arial" w:cs="Arial"/>
                <w:sz w:val="18"/>
                <w:szCs w:val="18"/>
              </w:rPr>
            </w:pPr>
            <w:r w:rsidRPr="001D239C">
              <w:rPr>
                <w:rFonts w:ascii="Arial" w:hAnsi="Arial" w:cs="Arial"/>
                <w:sz w:val="18"/>
                <w:szCs w:val="18"/>
              </w:rPr>
              <w:t>b. Predictors: (Constant), Self-Regulated Learning, Academic Bouyancy</w:t>
            </w:r>
          </w:p>
        </w:tc>
      </w:tr>
    </w:tbl>
    <w:p w:rsidR="00BF6421" w:rsidRPr="00550B85" w:rsidRDefault="00BF6421" w:rsidP="00BF6421">
      <w:pPr>
        <w:spacing w:line="360" w:lineRule="auto"/>
        <w:jc w:val="both"/>
        <w:rPr>
          <w:rFonts w:eastAsia="Times New Roman"/>
          <w:lang w:eastAsia="en-ID"/>
        </w:rPr>
      </w:pPr>
    </w:p>
    <w:p w:rsidR="00BF6421" w:rsidRPr="00550B85" w:rsidRDefault="00BF6421" w:rsidP="00BF6421">
      <w:pPr>
        <w:ind w:firstLine="720"/>
        <w:jc w:val="both"/>
        <w:rPr>
          <w:rFonts w:eastAsia="Times New Roman"/>
          <w:shd w:val="clear" w:color="auto" w:fill="FFFFFF"/>
          <w:lang w:eastAsia="en-ID"/>
        </w:rPr>
      </w:pPr>
      <w:r w:rsidRPr="00550B85">
        <w:rPr>
          <w:rFonts w:eastAsia="Times New Roman"/>
          <w:lang w:eastAsia="en-ID"/>
        </w:rPr>
        <w:t>Hasil analisis b</w:t>
      </w:r>
      <w:r w:rsidRPr="00550B85">
        <w:t>e</w:t>
      </w:r>
      <w:r w:rsidRPr="00550B85">
        <w:rPr>
          <w:color w:val="000000"/>
          <w:spacing w:val="-20"/>
          <w:w w:val="1"/>
        </w:rPr>
        <w:t>i</w:t>
      </w:r>
      <w:r w:rsidRPr="00550B85">
        <w:rPr>
          <w:rFonts w:eastAsia="Times New Roman"/>
          <w:lang w:eastAsia="en-ID"/>
        </w:rPr>
        <w:t>rdasarkan tabel 4 diketahui bahwa nilai F = 17,193 dengan signifikansi s</w:t>
      </w:r>
      <w:r w:rsidRPr="00550B85">
        <w:t>e</w:t>
      </w:r>
      <w:r w:rsidRPr="00550B85">
        <w:rPr>
          <w:color w:val="000000"/>
          <w:spacing w:val="-20"/>
          <w:w w:val="1"/>
        </w:rPr>
        <w:t>i</w:t>
      </w:r>
      <w:r w:rsidRPr="00550B85">
        <w:rPr>
          <w:rFonts w:eastAsia="Times New Roman"/>
          <w:lang w:eastAsia="en-ID"/>
        </w:rPr>
        <w:t xml:space="preserve">besar 0.000 (p &lt; 0.05) </w:t>
      </w:r>
      <w:r w:rsidRPr="00550B85">
        <w:rPr>
          <w:rFonts w:eastAsia="Times New Roman"/>
          <w:shd w:val="clear" w:color="auto" w:fill="FFFFFF"/>
          <w:lang w:eastAsia="en-ID"/>
        </w:rPr>
        <w:t xml:space="preserve">artinya ada hubungan signifikan antara </w:t>
      </w:r>
      <w:r w:rsidRPr="00550B85">
        <w:rPr>
          <w:rFonts w:eastAsia="Times New Roman"/>
          <w:i/>
          <w:lang w:eastAsia="en-ID"/>
        </w:rPr>
        <w:t xml:space="preserve">academic bouyancy </w:t>
      </w:r>
      <w:r w:rsidRPr="00550B85">
        <w:rPr>
          <w:rFonts w:eastAsia="Times New Roman"/>
          <w:shd w:val="clear" w:color="auto" w:fill="FFFFFF"/>
          <w:lang w:eastAsia="en-ID"/>
        </w:rPr>
        <w:t>dan</w:t>
      </w:r>
      <w:r w:rsidRPr="00550B85">
        <w:rPr>
          <w:rFonts w:eastAsia="Times New Roman"/>
          <w:i/>
          <w:lang w:eastAsia="en-ID"/>
        </w:rPr>
        <w:t xml:space="preserve"> self-regulated learning</w:t>
      </w:r>
      <w:r w:rsidRPr="00550B85">
        <w:rPr>
          <w:rFonts w:eastAsia="Times New Roman"/>
          <w:i/>
          <w:shd w:val="clear" w:color="auto" w:fill="FFFFFF"/>
          <w:lang w:eastAsia="en-ID"/>
        </w:rPr>
        <w:t xml:space="preserve"> </w:t>
      </w:r>
      <w:r w:rsidRPr="00550B85">
        <w:rPr>
          <w:rFonts w:eastAsia="Times New Roman"/>
          <w:shd w:val="clear" w:color="auto" w:fill="FFFFFF"/>
          <w:lang w:eastAsia="en-ID"/>
        </w:rPr>
        <w:t xml:space="preserve">dengan </w:t>
      </w:r>
      <w:r w:rsidRPr="00550B85">
        <w:rPr>
          <w:rFonts w:eastAsia="Times New Roman"/>
          <w:i/>
          <w:lang w:eastAsia="en-ID"/>
        </w:rPr>
        <w:t>school adjustment</w:t>
      </w:r>
      <w:r w:rsidRPr="00550B85">
        <w:rPr>
          <w:rFonts w:eastAsia="Times New Roman"/>
          <w:shd w:val="clear" w:color="auto" w:fill="FFFFFF"/>
          <w:lang w:eastAsia="en-ID"/>
        </w:rPr>
        <w:t xml:space="preserve"> pada santri Pondok Pesantren An-Nur Tanggulangin.</w:t>
      </w:r>
    </w:p>
    <w:p w:rsidR="00BF6421" w:rsidRPr="00550B85" w:rsidRDefault="00BF6421" w:rsidP="00BF6421">
      <w:pPr>
        <w:ind w:right="59" w:hanging="2"/>
        <w:rPr>
          <w:rFonts w:eastAsia="Times New Roman"/>
          <w:sz w:val="20"/>
          <w:szCs w:val="20"/>
          <w:lang w:eastAsia="en-ID"/>
        </w:rPr>
      </w:pP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Tabel 5</w:t>
      </w:r>
    </w:p>
    <w:p w:rsidR="00BF6421" w:rsidRPr="00550B85" w:rsidRDefault="00BF6421" w:rsidP="00BF6421">
      <w:pPr>
        <w:ind w:hanging="2"/>
        <w:rPr>
          <w:rFonts w:eastAsia="Times New Roman"/>
          <w:i/>
          <w:sz w:val="20"/>
          <w:szCs w:val="20"/>
          <w:lang w:eastAsia="en-ID"/>
        </w:rPr>
      </w:pPr>
      <w:r w:rsidRPr="00550B85">
        <w:rPr>
          <w:rFonts w:eastAsia="Times New Roman"/>
          <w:i/>
          <w:sz w:val="20"/>
          <w:szCs w:val="20"/>
          <w:lang w:eastAsia="en-ID"/>
        </w:rPr>
        <w:t>Sumbangan Efektif</w:t>
      </w:r>
    </w:p>
    <w:p w:rsidR="00BF6421" w:rsidRPr="00550B85" w:rsidRDefault="00BF6421" w:rsidP="00BF6421">
      <w:pPr>
        <w:ind w:hanging="2"/>
        <w:rPr>
          <w:rFonts w:eastAsia="Times New Roman"/>
          <w:i/>
          <w:sz w:val="20"/>
          <w:szCs w:val="20"/>
          <w:lang w:eastAsia="en-ID"/>
        </w:rPr>
      </w:pPr>
    </w:p>
    <w:tbl>
      <w:tblPr>
        <w:tblW w:w="5843" w:type="dxa"/>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BF6421" w:rsidTr="00BB4174">
        <w:trPr>
          <w:cantSplit/>
        </w:trPr>
        <w:tc>
          <w:tcPr>
            <w:tcW w:w="5841" w:type="dxa"/>
            <w:gridSpan w:val="5"/>
            <w:tcBorders>
              <w:top w:val="single" w:sz="4" w:space="0" w:color="auto"/>
              <w:bottom w:val="single" w:sz="4" w:space="0" w:color="auto"/>
            </w:tcBorders>
            <w:shd w:val="clear" w:color="auto" w:fill="auto"/>
            <w:vAlign w:val="center"/>
          </w:tcPr>
          <w:p w:rsidR="00BF6421" w:rsidRDefault="00BF6421" w:rsidP="00BB4174">
            <w:pPr>
              <w:ind w:left="60" w:right="60"/>
              <w:jc w:val="center"/>
              <w:rPr>
                <w:rFonts w:ascii="Arial" w:hAnsi="Arial" w:cs="Arial"/>
                <w:color w:val="010205"/>
              </w:rPr>
            </w:pPr>
            <w:r>
              <w:rPr>
                <w:rFonts w:ascii="Arial" w:hAnsi="Arial" w:cs="Arial"/>
                <w:b/>
                <w:bCs/>
                <w:color w:val="010205"/>
              </w:rPr>
              <w:t>Model Summary</w:t>
            </w:r>
            <w:r>
              <w:rPr>
                <w:rFonts w:ascii="Arial" w:hAnsi="Arial" w:cs="Arial"/>
                <w:b/>
                <w:bCs/>
                <w:color w:val="010205"/>
                <w:vertAlign w:val="superscript"/>
              </w:rPr>
              <w:t>b</w:t>
            </w:r>
          </w:p>
        </w:tc>
      </w:tr>
      <w:tr w:rsidR="00BF6421" w:rsidTr="00BB4174">
        <w:trPr>
          <w:cantSplit/>
        </w:trPr>
        <w:tc>
          <w:tcPr>
            <w:tcW w:w="795" w:type="dxa"/>
            <w:tcBorders>
              <w:top w:val="single" w:sz="4" w:space="0" w:color="auto"/>
            </w:tcBorders>
            <w:shd w:val="clear" w:color="auto" w:fill="auto"/>
            <w:vAlign w:val="bottom"/>
          </w:tcPr>
          <w:p w:rsidR="00BF6421" w:rsidRDefault="00BF6421" w:rsidP="00BB4174">
            <w:pPr>
              <w:ind w:left="60" w:right="60"/>
              <w:rPr>
                <w:rFonts w:ascii="Arial" w:hAnsi="Arial" w:cs="Arial"/>
                <w:color w:val="264A60"/>
                <w:sz w:val="18"/>
                <w:szCs w:val="18"/>
              </w:rPr>
            </w:pPr>
            <w:r>
              <w:rPr>
                <w:rFonts w:ascii="Arial" w:hAnsi="Arial" w:cs="Arial"/>
                <w:color w:val="264A60"/>
                <w:sz w:val="18"/>
                <w:szCs w:val="18"/>
              </w:rPr>
              <w:t>Model</w:t>
            </w:r>
          </w:p>
        </w:tc>
        <w:tc>
          <w:tcPr>
            <w:tcW w:w="1024" w:type="dxa"/>
            <w:tcBorders>
              <w:top w:val="single" w:sz="4" w:space="0" w:color="auto"/>
            </w:tcBorders>
            <w:shd w:val="clear" w:color="auto" w:fill="auto"/>
            <w:vAlign w:val="bottom"/>
          </w:tcPr>
          <w:p w:rsidR="00BF6421" w:rsidRDefault="00BF6421" w:rsidP="00BB4174">
            <w:pPr>
              <w:ind w:left="60" w:right="60"/>
              <w:jc w:val="center"/>
              <w:rPr>
                <w:rFonts w:ascii="Arial" w:hAnsi="Arial" w:cs="Arial"/>
                <w:color w:val="264A60"/>
                <w:sz w:val="18"/>
                <w:szCs w:val="18"/>
              </w:rPr>
            </w:pPr>
            <w:r>
              <w:rPr>
                <w:rFonts w:ascii="Arial" w:hAnsi="Arial" w:cs="Arial"/>
                <w:color w:val="264A60"/>
                <w:sz w:val="18"/>
                <w:szCs w:val="18"/>
              </w:rPr>
              <w:t>R</w:t>
            </w:r>
          </w:p>
        </w:tc>
        <w:tc>
          <w:tcPr>
            <w:tcW w:w="1086" w:type="dxa"/>
            <w:tcBorders>
              <w:top w:val="single" w:sz="4" w:space="0" w:color="auto"/>
            </w:tcBorders>
            <w:shd w:val="clear" w:color="auto" w:fill="auto"/>
            <w:vAlign w:val="bottom"/>
          </w:tcPr>
          <w:p w:rsidR="00BF6421" w:rsidRDefault="00BF6421" w:rsidP="00BB4174">
            <w:pPr>
              <w:ind w:left="60" w:right="60"/>
              <w:jc w:val="center"/>
              <w:rPr>
                <w:rFonts w:ascii="Arial" w:hAnsi="Arial" w:cs="Arial"/>
                <w:color w:val="264A60"/>
                <w:sz w:val="18"/>
                <w:szCs w:val="18"/>
              </w:rPr>
            </w:pPr>
            <w:r>
              <w:rPr>
                <w:rFonts w:ascii="Arial" w:hAnsi="Arial" w:cs="Arial"/>
                <w:color w:val="264A60"/>
                <w:sz w:val="18"/>
                <w:szCs w:val="18"/>
              </w:rPr>
              <w:t>R Square</w:t>
            </w:r>
          </w:p>
        </w:tc>
        <w:tc>
          <w:tcPr>
            <w:tcW w:w="1468" w:type="dxa"/>
            <w:tcBorders>
              <w:top w:val="single" w:sz="4" w:space="0" w:color="auto"/>
            </w:tcBorders>
            <w:shd w:val="clear" w:color="auto" w:fill="auto"/>
            <w:vAlign w:val="bottom"/>
          </w:tcPr>
          <w:p w:rsidR="00BF6421" w:rsidRDefault="00BF6421" w:rsidP="00BB4174">
            <w:pPr>
              <w:ind w:left="60" w:right="60"/>
              <w:jc w:val="center"/>
              <w:rPr>
                <w:rFonts w:ascii="Arial" w:hAnsi="Arial" w:cs="Arial"/>
                <w:color w:val="264A60"/>
                <w:sz w:val="18"/>
                <w:szCs w:val="18"/>
              </w:rPr>
            </w:pPr>
            <w:r>
              <w:rPr>
                <w:rFonts w:ascii="Arial" w:hAnsi="Arial" w:cs="Arial"/>
                <w:color w:val="264A60"/>
                <w:sz w:val="18"/>
                <w:szCs w:val="18"/>
              </w:rPr>
              <w:t>Adjusted R Square</w:t>
            </w:r>
          </w:p>
        </w:tc>
        <w:tc>
          <w:tcPr>
            <w:tcW w:w="1468" w:type="dxa"/>
            <w:tcBorders>
              <w:top w:val="single" w:sz="4" w:space="0" w:color="auto"/>
            </w:tcBorders>
            <w:shd w:val="clear" w:color="auto" w:fill="auto"/>
            <w:vAlign w:val="bottom"/>
          </w:tcPr>
          <w:p w:rsidR="00BF6421" w:rsidRDefault="00BF6421" w:rsidP="00BB4174">
            <w:pPr>
              <w:ind w:left="60" w:right="60"/>
              <w:jc w:val="center"/>
              <w:rPr>
                <w:rFonts w:ascii="Arial" w:hAnsi="Arial" w:cs="Arial"/>
                <w:color w:val="264A60"/>
                <w:sz w:val="18"/>
                <w:szCs w:val="18"/>
              </w:rPr>
            </w:pPr>
            <w:r>
              <w:rPr>
                <w:rFonts w:ascii="Arial" w:hAnsi="Arial" w:cs="Arial"/>
                <w:color w:val="264A60"/>
                <w:sz w:val="18"/>
                <w:szCs w:val="18"/>
              </w:rPr>
              <w:t>Std. Error of the Estimate</w:t>
            </w:r>
          </w:p>
        </w:tc>
      </w:tr>
      <w:tr w:rsidR="00BF6421" w:rsidTr="00BB4174">
        <w:trPr>
          <w:cantSplit/>
        </w:trPr>
        <w:tc>
          <w:tcPr>
            <w:tcW w:w="795" w:type="dxa"/>
            <w:tcBorders>
              <w:bottom w:val="single" w:sz="4" w:space="0" w:color="auto"/>
            </w:tcBorders>
            <w:shd w:val="clear" w:color="auto" w:fill="auto"/>
          </w:tcPr>
          <w:p w:rsidR="00BF6421" w:rsidRDefault="00BF6421" w:rsidP="00BB4174">
            <w:pPr>
              <w:ind w:left="60" w:right="60"/>
              <w:rPr>
                <w:rFonts w:ascii="Arial" w:hAnsi="Arial" w:cs="Arial"/>
                <w:color w:val="264A60"/>
                <w:sz w:val="18"/>
                <w:szCs w:val="18"/>
              </w:rPr>
            </w:pPr>
            <w:r>
              <w:rPr>
                <w:rFonts w:ascii="Arial" w:hAnsi="Arial" w:cs="Arial"/>
                <w:color w:val="264A60"/>
                <w:sz w:val="18"/>
                <w:szCs w:val="18"/>
              </w:rPr>
              <w:t>1</w:t>
            </w:r>
          </w:p>
        </w:tc>
        <w:tc>
          <w:tcPr>
            <w:tcW w:w="1024" w:type="dxa"/>
            <w:tcBorders>
              <w:bottom w:val="single" w:sz="4" w:space="0" w:color="auto"/>
            </w:tcBorders>
            <w:shd w:val="clear" w:color="auto" w:fill="auto"/>
          </w:tcPr>
          <w:p w:rsidR="00BF6421" w:rsidRDefault="00BF6421" w:rsidP="00BB4174">
            <w:pPr>
              <w:ind w:left="60" w:right="60"/>
              <w:jc w:val="right"/>
              <w:rPr>
                <w:rFonts w:ascii="Arial" w:hAnsi="Arial" w:cs="Arial"/>
                <w:color w:val="010205"/>
                <w:sz w:val="18"/>
                <w:szCs w:val="18"/>
              </w:rPr>
            </w:pPr>
            <w:r>
              <w:rPr>
                <w:rFonts w:ascii="Arial" w:hAnsi="Arial" w:cs="Arial"/>
                <w:color w:val="010205"/>
                <w:sz w:val="18"/>
                <w:szCs w:val="18"/>
              </w:rPr>
              <w:t>.390</w:t>
            </w:r>
            <w:r>
              <w:rPr>
                <w:rFonts w:ascii="Arial" w:hAnsi="Arial" w:cs="Arial"/>
                <w:color w:val="010205"/>
                <w:sz w:val="18"/>
                <w:szCs w:val="18"/>
                <w:vertAlign w:val="superscript"/>
              </w:rPr>
              <w:t>a</w:t>
            </w:r>
          </w:p>
        </w:tc>
        <w:tc>
          <w:tcPr>
            <w:tcW w:w="1086" w:type="dxa"/>
            <w:tcBorders>
              <w:bottom w:val="single" w:sz="4" w:space="0" w:color="auto"/>
            </w:tcBorders>
            <w:shd w:val="clear" w:color="auto" w:fill="auto"/>
          </w:tcPr>
          <w:p w:rsidR="00BF6421" w:rsidRDefault="00BF6421" w:rsidP="00BB4174">
            <w:pPr>
              <w:ind w:left="60" w:right="60"/>
              <w:jc w:val="right"/>
              <w:rPr>
                <w:rFonts w:ascii="Arial" w:hAnsi="Arial" w:cs="Arial"/>
                <w:color w:val="010205"/>
                <w:sz w:val="18"/>
                <w:szCs w:val="18"/>
              </w:rPr>
            </w:pPr>
            <w:r>
              <w:rPr>
                <w:rFonts w:ascii="Arial" w:hAnsi="Arial" w:cs="Arial"/>
                <w:color w:val="010205"/>
                <w:sz w:val="18"/>
                <w:szCs w:val="18"/>
              </w:rPr>
              <w:t>.152</w:t>
            </w:r>
          </w:p>
        </w:tc>
        <w:tc>
          <w:tcPr>
            <w:tcW w:w="1468" w:type="dxa"/>
            <w:tcBorders>
              <w:bottom w:val="single" w:sz="4" w:space="0" w:color="auto"/>
            </w:tcBorders>
            <w:shd w:val="clear" w:color="auto" w:fill="auto"/>
          </w:tcPr>
          <w:p w:rsidR="00BF6421" w:rsidRDefault="00BF6421" w:rsidP="00BB4174">
            <w:pPr>
              <w:ind w:left="60" w:right="60"/>
              <w:jc w:val="right"/>
              <w:rPr>
                <w:rFonts w:ascii="Arial" w:hAnsi="Arial" w:cs="Arial"/>
                <w:color w:val="010205"/>
                <w:sz w:val="18"/>
                <w:szCs w:val="18"/>
              </w:rPr>
            </w:pPr>
            <w:r>
              <w:rPr>
                <w:rFonts w:ascii="Arial" w:hAnsi="Arial" w:cs="Arial"/>
                <w:color w:val="010205"/>
                <w:sz w:val="18"/>
                <w:szCs w:val="18"/>
              </w:rPr>
              <w:t>.143</w:t>
            </w:r>
          </w:p>
        </w:tc>
        <w:tc>
          <w:tcPr>
            <w:tcW w:w="1468" w:type="dxa"/>
            <w:tcBorders>
              <w:bottom w:val="single" w:sz="4" w:space="0" w:color="auto"/>
            </w:tcBorders>
            <w:shd w:val="clear" w:color="auto" w:fill="auto"/>
          </w:tcPr>
          <w:p w:rsidR="00BF6421" w:rsidRDefault="00BF6421" w:rsidP="00BB4174">
            <w:pPr>
              <w:ind w:left="60" w:right="60"/>
              <w:jc w:val="right"/>
              <w:rPr>
                <w:rFonts w:ascii="Arial" w:hAnsi="Arial" w:cs="Arial"/>
                <w:color w:val="010205"/>
                <w:sz w:val="18"/>
                <w:szCs w:val="18"/>
              </w:rPr>
            </w:pPr>
            <w:r>
              <w:rPr>
                <w:rFonts w:ascii="Arial" w:hAnsi="Arial" w:cs="Arial"/>
                <w:color w:val="010205"/>
                <w:sz w:val="18"/>
                <w:szCs w:val="18"/>
              </w:rPr>
              <w:t>14.543</w:t>
            </w:r>
          </w:p>
        </w:tc>
      </w:tr>
      <w:tr w:rsidR="00BF6421" w:rsidTr="00BB4174">
        <w:trPr>
          <w:cantSplit/>
        </w:trPr>
        <w:tc>
          <w:tcPr>
            <w:tcW w:w="5841" w:type="dxa"/>
            <w:gridSpan w:val="5"/>
            <w:tcBorders>
              <w:top w:val="single" w:sz="4" w:space="0" w:color="auto"/>
            </w:tcBorders>
            <w:shd w:val="clear" w:color="auto" w:fill="auto"/>
          </w:tcPr>
          <w:p w:rsidR="00BF6421" w:rsidRDefault="00BF6421" w:rsidP="00BB4174">
            <w:pPr>
              <w:ind w:left="60" w:right="60"/>
              <w:rPr>
                <w:rFonts w:ascii="Arial" w:hAnsi="Arial" w:cs="Arial"/>
                <w:color w:val="010205"/>
                <w:sz w:val="18"/>
                <w:szCs w:val="18"/>
              </w:rPr>
            </w:pPr>
            <w:r>
              <w:rPr>
                <w:rFonts w:ascii="Arial" w:hAnsi="Arial" w:cs="Arial"/>
                <w:color w:val="010205"/>
                <w:sz w:val="18"/>
                <w:szCs w:val="18"/>
              </w:rPr>
              <w:t>a. Predictors: (Constant), Self-Regulated Learning, Academic Bouyancy</w:t>
            </w:r>
          </w:p>
        </w:tc>
      </w:tr>
      <w:tr w:rsidR="00BF6421" w:rsidTr="00BB4174">
        <w:trPr>
          <w:cantSplit/>
        </w:trPr>
        <w:tc>
          <w:tcPr>
            <w:tcW w:w="5841" w:type="dxa"/>
            <w:gridSpan w:val="5"/>
            <w:shd w:val="clear" w:color="auto" w:fill="auto"/>
          </w:tcPr>
          <w:p w:rsidR="00BF6421" w:rsidRDefault="00BF6421" w:rsidP="00BB4174">
            <w:pPr>
              <w:ind w:left="60" w:right="60"/>
              <w:rPr>
                <w:rFonts w:ascii="Arial" w:hAnsi="Arial" w:cs="Arial"/>
                <w:color w:val="010205"/>
                <w:sz w:val="18"/>
                <w:szCs w:val="18"/>
              </w:rPr>
            </w:pPr>
            <w:r>
              <w:rPr>
                <w:rFonts w:ascii="Arial" w:hAnsi="Arial" w:cs="Arial"/>
                <w:color w:val="010205"/>
                <w:sz w:val="18"/>
                <w:szCs w:val="18"/>
              </w:rPr>
              <w:t>b. Dependent Variable: School Adjustment</w:t>
            </w:r>
          </w:p>
        </w:tc>
      </w:tr>
    </w:tbl>
    <w:p w:rsidR="00BF6421" w:rsidRDefault="00BF6421" w:rsidP="00BF6421">
      <w:pPr>
        <w:autoSpaceDE w:val="0"/>
        <w:autoSpaceDN w:val="0"/>
        <w:adjustRightInd w:val="0"/>
        <w:jc w:val="both"/>
        <w:rPr>
          <w:rFonts w:eastAsia="Times New Roman"/>
          <w:lang w:eastAsia="en-ID"/>
        </w:rPr>
      </w:pPr>
    </w:p>
    <w:p w:rsidR="00BF6421" w:rsidRPr="00550B85" w:rsidRDefault="00BF6421" w:rsidP="00BF6421">
      <w:pPr>
        <w:autoSpaceDE w:val="0"/>
        <w:autoSpaceDN w:val="0"/>
        <w:adjustRightInd w:val="0"/>
        <w:jc w:val="both"/>
        <w:rPr>
          <w:rFonts w:eastAsia="Times New Roman"/>
          <w:lang w:eastAsia="en-ID"/>
        </w:rPr>
      </w:pPr>
      <w:r w:rsidRPr="00550B85">
        <w:rPr>
          <w:rFonts w:eastAsia="Times New Roman"/>
          <w:lang w:eastAsia="en-ID"/>
        </w:rPr>
        <w:t xml:space="preserve"> </w:t>
      </w:r>
      <w:r w:rsidRPr="00550B85">
        <w:rPr>
          <w:rFonts w:eastAsia="Times New Roman"/>
          <w:lang w:eastAsia="en-ID"/>
        </w:rPr>
        <w:tab/>
        <w:t xml:space="preserve">Berdasarkan hasil tabel 5 diketahui nilai R </w:t>
      </w:r>
      <w:r w:rsidRPr="00550B85">
        <w:rPr>
          <w:rFonts w:eastAsia="Times New Roman"/>
          <w:i/>
          <w:lang w:eastAsia="en-ID"/>
        </w:rPr>
        <w:t>Square</w:t>
      </w:r>
      <w:r w:rsidRPr="00550B85">
        <w:rPr>
          <w:rFonts w:eastAsia="Times New Roman"/>
          <w:lang w:eastAsia="en-ID"/>
        </w:rPr>
        <w:t xml:space="preserve"> adalah 0.390 x 100% hasilnya 39%. maka diketahui pengaruh </w:t>
      </w:r>
      <w:r w:rsidRPr="00550B85">
        <w:rPr>
          <w:rFonts w:eastAsia="Times New Roman"/>
          <w:i/>
          <w:lang w:eastAsia="en-ID"/>
        </w:rPr>
        <w:t xml:space="preserve">academic bouyancy </w:t>
      </w:r>
      <w:r w:rsidRPr="00550B85">
        <w:rPr>
          <w:rFonts w:eastAsia="Times New Roman"/>
          <w:shd w:val="clear" w:color="auto" w:fill="FFFFFF"/>
          <w:lang w:eastAsia="en-ID"/>
        </w:rPr>
        <w:t>dan</w:t>
      </w:r>
      <w:r w:rsidRPr="00550B85">
        <w:rPr>
          <w:rFonts w:eastAsia="Times New Roman"/>
          <w:i/>
          <w:lang w:eastAsia="en-ID"/>
        </w:rPr>
        <w:t xml:space="preserve"> self-regulated learning</w:t>
      </w:r>
      <w:r w:rsidRPr="00550B85">
        <w:rPr>
          <w:rFonts w:eastAsia="Times New Roman"/>
          <w:i/>
          <w:shd w:val="clear" w:color="auto" w:fill="FFFFFF"/>
          <w:lang w:eastAsia="en-ID"/>
        </w:rPr>
        <w:t xml:space="preserve"> </w:t>
      </w:r>
      <w:r w:rsidRPr="00550B85">
        <w:rPr>
          <w:rFonts w:eastAsia="Times New Roman"/>
          <w:shd w:val="clear" w:color="auto" w:fill="FFFFFF"/>
          <w:lang w:eastAsia="en-ID"/>
        </w:rPr>
        <w:t xml:space="preserve">terhadap </w:t>
      </w:r>
      <w:r w:rsidRPr="00550B85">
        <w:rPr>
          <w:rFonts w:eastAsia="Times New Roman"/>
          <w:i/>
          <w:lang w:eastAsia="en-ID"/>
        </w:rPr>
        <w:t>school adjustment</w:t>
      </w:r>
      <w:r w:rsidRPr="00550B85">
        <w:rPr>
          <w:rFonts w:eastAsia="Times New Roman"/>
          <w:lang w:eastAsia="en-ID"/>
        </w:rPr>
        <w:t xml:space="preserve"> sebesar 39% sedangkan 61% dipengaruhi oleh variabel lain.</w:t>
      </w:r>
    </w:p>
    <w:p w:rsidR="00BF6421" w:rsidRPr="00550B85" w:rsidRDefault="00BF6421" w:rsidP="00BF6421">
      <w:pPr>
        <w:ind w:right="59"/>
        <w:rPr>
          <w:rFonts w:eastAsia="Times New Roman"/>
          <w:sz w:val="20"/>
          <w:szCs w:val="20"/>
          <w:lang w:eastAsia="en-ID"/>
        </w:rPr>
      </w:pPr>
    </w:p>
    <w:p w:rsidR="00BF6421" w:rsidRPr="00550B85" w:rsidRDefault="00BF6421" w:rsidP="00BF6421">
      <w:pPr>
        <w:ind w:right="59" w:hanging="2"/>
        <w:rPr>
          <w:rFonts w:eastAsia="Times New Roman"/>
          <w:sz w:val="20"/>
          <w:szCs w:val="20"/>
          <w:lang w:eastAsia="en-ID"/>
        </w:rPr>
      </w:pPr>
      <w:r w:rsidRPr="00550B85">
        <w:rPr>
          <w:rFonts w:eastAsia="Times New Roman"/>
          <w:sz w:val="20"/>
          <w:szCs w:val="20"/>
          <w:lang w:eastAsia="en-ID"/>
        </w:rPr>
        <w:t>Tabel 6</w:t>
      </w:r>
    </w:p>
    <w:p w:rsidR="00BF6421" w:rsidRPr="00550B85" w:rsidRDefault="00BF6421" w:rsidP="00BF6421">
      <w:pPr>
        <w:ind w:right="59" w:hanging="2"/>
        <w:rPr>
          <w:rFonts w:eastAsia="Times New Roman"/>
          <w:i/>
          <w:sz w:val="20"/>
          <w:szCs w:val="20"/>
          <w:lang w:eastAsia="en-ID"/>
        </w:rPr>
      </w:pPr>
      <w:r w:rsidRPr="00550B85">
        <w:rPr>
          <w:rFonts w:eastAsia="Times New Roman"/>
          <w:i/>
          <w:sz w:val="20"/>
          <w:szCs w:val="20"/>
          <w:lang w:eastAsia="en-ID"/>
        </w:rPr>
        <w:t>Kategori Skor Subjek</w:t>
      </w:r>
    </w:p>
    <w:p w:rsidR="00BF6421" w:rsidRPr="00550B85" w:rsidRDefault="00BF6421" w:rsidP="00BF6421">
      <w:pPr>
        <w:ind w:right="59" w:hanging="2"/>
        <w:rPr>
          <w:rFonts w:eastAsia="Times New Roman"/>
          <w:sz w:val="20"/>
          <w:szCs w:val="20"/>
          <w:lang w:eastAsia="en-ID"/>
        </w:rPr>
      </w:pPr>
    </w:p>
    <w:tbl>
      <w:tblPr>
        <w:tblW w:w="7824" w:type="dxa"/>
        <w:tblLayout w:type="fixed"/>
        <w:tblLook w:val="04A0" w:firstRow="1" w:lastRow="0" w:firstColumn="1" w:lastColumn="0" w:noHBand="0" w:noVBand="1"/>
      </w:tblPr>
      <w:tblGrid>
        <w:gridCol w:w="1769"/>
        <w:gridCol w:w="1074"/>
        <w:gridCol w:w="992"/>
        <w:gridCol w:w="1134"/>
        <w:gridCol w:w="870"/>
        <w:gridCol w:w="1134"/>
        <w:gridCol w:w="851"/>
      </w:tblGrid>
      <w:tr w:rsidR="00BF6421" w:rsidRPr="008B1114" w:rsidTr="00BB4174">
        <w:tc>
          <w:tcPr>
            <w:tcW w:w="1769" w:type="dxa"/>
            <w:vMerge w:val="restart"/>
            <w:tcBorders>
              <w:top w:val="single" w:sz="4" w:space="0" w:color="auto"/>
            </w:tcBorders>
            <w:vAlign w:val="center"/>
            <w:hideMark/>
          </w:tcPr>
          <w:p w:rsidR="00BF6421" w:rsidRPr="008B1114" w:rsidRDefault="00BF6421" w:rsidP="00BB4174">
            <w:pPr>
              <w:suppressAutoHyphens/>
              <w:spacing w:line="256" w:lineRule="auto"/>
              <w:jc w:val="center"/>
              <w:rPr>
                <w:rFonts w:eastAsia="Times New Roman"/>
                <w:b/>
                <w:color w:val="292929"/>
                <w:lang w:val="en-GB"/>
              </w:rPr>
            </w:pPr>
            <w:r w:rsidRPr="008B1114">
              <w:rPr>
                <w:rFonts w:eastAsia="Times New Roman"/>
                <w:b/>
                <w:color w:val="292929"/>
              </w:rPr>
              <w:t>Kategori</w:t>
            </w:r>
          </w:p>
        </w:tc>
        <w:tc>
          <w:tcPr>
            <w:tcW w:w="6055" w:type="dxa"/>
            <w:gridSpan w:val="6"/>
            <w:tcBorders>
              <w:top w:val="single" w:sz="4" w:space="0" w:color="auto"/>
            </w:tcBorders>
            <w:hideMark/>
          </w:tcPr>
          <w:p w:rsidR="00BF6421" w:rsidRPr="008B1114" w:rsidRDefault="00BF6421" w:rsidP="00BB4174">
            <w:pPr>
              <w:suppressAutoHyphens/>
              <w:spacing w:line="256" w:lineRule="auto"/>
              <w:jc w:val="center"/>
              <w:rPr>
                <w:rFonts w:eastAsia="Times New Roman"/>
                <w:b/>
                <w:color w:val="292929"/>
              </w:rPr>
            </w:pPr>
            <w:r w:rsidRPr="008B1114">
              <w:rPr>
                <w:rFonts w:eastAsia="Times New Roman"/>
                <w:b/>
                <w:color w:val="292929"/>
              </w:rPr>
              <w:t>Skor Subjek</w:t>
            </w:r>
          </w:p>
        </w:tc>
      </w:tr>
      <w:tr w:rsidR="00BF6421" w:rsidRPr="008B1114" w:rsidTr="00BB4174">
        <w:tc>
          <w:tcPr>
            <w:tcW w:w="1769" w:type="dxa"/>
            <w:vMerge/>
            <w:vAlign w:val="center"/>
            <w:hideMark/>
          </w:tcPr>
          <w:p w:rsidR="00BF6421" w:rsidRPr="008B1114" w:rsidRDefault="00BF6421" w:rsidP="00BB4174">
            <w:pPr>
              <w:suppressAutoHyphens/>
              <w:rPr>
                <w:rFonts w:eastAsia="Times New Roman"/>
                <w:b/>
                <w:color w:val="292929"/>
                <w:lang w:val="en-GB"/>
              </w:rPr>
            </w:pPr>
          </w:p>
        </w:tc>
        <w:tc>
          <w:tcPr>
            <w:tcW w:w="2066" w:type="dxa"/>
            <w:gridSpan w:val="2"/>
            <w:hideMark/>
          </w:tcPr>
          <w:p w:rsidR="00BF6421" w:rsidRPr="008B1114" w:rsidRDefault="00BF6421" w:rsidP="00BB4174">
            <w:pPr>
              <w:suppressAutoHyphens/>
              <w:jc w:val="center"/>
              <w:rPr>
                <w:rFonts w:eastAsia="Times New Roman"/>
                <w:b/>
                <w:i/>
              </w:rPr>
            </w:pPr>
            <w:r>
              <w:rPr>
                <w:rFonts w:eastAsia="Times New Roman"/>
                <w:b/>
                <w:i/>
                <w:iCs/>
              </w:rPr>
              <w:t>Academic Bouyancy</w:t>
            </w:r>
          </w:p>
        </w:tc>
        <w:tc>
          <w:tcPr>
            <w:tcW w:w="2004" w:type="dxa"/>
            <w:gridSpan w:val="2"/>
            <w:hideMark/>
          </w:tcPr>
          <w:p w:rsidR="00BF6421" w:rsidRPr="008B1114" w:rsidRDefault="00BF6421" w:rsidP="00BB4174">
            <w:pPr>
              <w:suppressAutoHyphens/>
              <w:jc w:val="center"/>
              <w:rPr>
                <w:rFonts w:eastAsia="Times New Roman"/>
                <w:b/>
                <w:i/>
              </w:rPr>
            </w:pPr>
            <w:r>
              <w:rPr>
                <w:rFonts w:eastAsia="Times New Roman"/>
                <w:b/>
                <w:i/>
              </w:rPr>
              <w:t>Self-Regulated Learning</w:t>
            </w:r>
          </w:p>
        </w:tc>
        <w:tc>
          <w:tcPr>
            <w:tcW w:w="1985" w:type="dxa"/>
            <w:gridSpan w:val="2"/>
          </w:tcPr>
          <w:p w:rsidR="00BF6421" w:rsidRPr="008B1114" w:rsidRDefault="00BF6421" w:rsidP="00BB4174">
            <w:pPr>
              <w:suppressAutoHyphens/>
              <w:jc w:val="center"/>
              <w:rPr>
                <w:rFonts w:eastAsia="Times New Roman"/>
                <w:b/>
                <w:i/>
              </w:rPr>
            </w:pPr>
            <w:r w:rsidRPr="00D826B6">
              <w:rPr>
                <w:rFonts w:eastAsia="Times New Roman"/>
                <w:b/>
                <w:i/>
              </w:rPr>
              <w:t>School Adjustment</w:t>
            </w:r>
          </w:p>
        </w:tc>
      </w:tr>
      <w:tr w:rsidR="00BF6421" w:rsidRPr="008B1114" w:rsidTr="00BB4174">
        <w:tc>
          <w:tcPr>
            <w:tcW w:w="1769" w:type="dxa"/>
            <w:vMerge/>
            <w:tcBorders>
              <w:bottom w:val="single" w:sz="4" w:space="0" w:color="auto"/>
            </w:tcBorders>
            <w:vAlign w:val="center"/>
            <w:hideMark/>
          </w:tcPr>
          <w:p w:rsidR="00BF6421" w:rsidRPr="008B1114" w:rsidRDefault="00BF6421" w:rsidP="00BB4174">
            <w:pPr>
              <w:suppressAutoHyphens/>
              <w:rPr>
                <w:rFonts w:eastAsia="Times New Roman"/>
                <w:b/>
                <w:color w:val="292929"/>
                <w:lang w:val="en-GB"/>
              </w:rPr>
            </w:pPr>
          </w:p>
        </w:tc>
        <w:tc>
          <w:tcPr>
            <w:tcW w:w="1074" w:type="dxa"/>
            <w:tcBorders>
              <w:bottom w:val="single" w:sz="4" w:space="0" w:color="auto"/>
            </w:tcBorders>
            <w:hideMark/>
          </w:tcPr>
          <w:p w:rsidR="00BF6421" w:rsidRPr="008B1114" w:rsidRDefault="00BF6421" w:rsidP="00BB4174">
            <w:pPr>
              <w:suppressAutoHyphens/>
              <w:spacing w:line="256" w:lineRule="auto"/>
              <w:jc w:val="center"/>
              <w:rPr>
                <w:rFonts w:eastAsia="Times New Roman"/>
                <w:b/>
                <w:color w:val="292929"/>
              </w:rPr>
            </w:pPr>
            <w:r w:rsidRPr="008B1114">
              <w:rPr>
                <w:rFonts w:eastAsia="Times New Roman"/>
                <w:b/>
                <w:color w:val="292929"/>
              </w:rPr>
              <w:t>∑ Santri</w:t>
            </w:r>
          </w:p>
        </w:tc>
        <w:tc>
          <w:tcPr>
            <w:tcW w:w="992" w:type="dxa"/>
            <w:tcBorders>
              <w:bottom w:val="single" w:sz="4" w:space="0" w:color="auto"/>
            </w:tcBorders>
            <w:hideMark/>
          </w:tcPr>
          <w:p w:rsidR="00BF6421" w:rsidRPr="008B1114" w:rsidRDefault="00BF6421" w:rsidP="00BB4174">
            <w:pPr>
              <w:suppressAutoHyphens/>
              <w:spacing w:line="256" w:lineRule="auto"/>
              <w:jc w:val="center"/>
              <w:rPr>
                <w:rFonts w:eastAsia="Times New Roman"/>
                <w:b/>
                <w:color w:val="292929"/>
                <w:lang w:val="en-GB"/>
              </w:rPr>
            </w:pPr>
            <w:r w:rsidRPr="008B1114">
              <w:rPr>
                <w:rFonts w:eastAsia="Times New Roman"/>
                <w:b/>
                <w:color w:val="292929"/>
              </w:rPr>
              <w:t>%</w:t>
            </w:r>
          </w:p>
        </w:tc>
        <w:tc>
          <w:tcPr>
            <w:tcW w:w="1134" w:type="dxa"/>
            <w:tcBorders>
              <w:bottom w:val="single" w:sz="4" w:space="0" w:color="auto"/>
            </w:tcBorders>
            <w:hideMark/>
          </w:tcPr>
          <w:p w:rsidR="00BF6421" w:rsidRPr="008B1114" w:rsidRDefault="00BF6421" w:rsidP="00BB4174">
            <w:pPr>
              <w:suppressAutoHyphens/>
              <w:spacing w:line="256" w:lineRule="auto"/>
              <w:jc w:val="center"/>
              <w:rPr>
                <w:rFonts w:eastAsia="Times New Roman"/>
                <w:b/>
                <w:color w:val="292929"/>
              </w:rPr>
            </w:pPr>
            <w:r w:rsidRPr="008B1114">
              <w:rPr>
                <w:rFonts w:eastAsia="Times New Roman"/>
                <w:b/>
                <w:color w:val="292929"/>
              </w:rPr>
              <w:t>∑ Santri</w:t>
            </w:r>
          </w:p>
        </w:tc>
        <w:tc>
          <w:tcPr>
            <w:tcW w:w="870" w:type="dxa"/>
            <w:tcBorders>
              <w:bottom w:val="single" w:sz="4" w:space="0" w:color="auto"/>
            </w:tcBorders>
            <w:hideMark/>
          </w:tcPr>
          <w:p w:rsidR="00BF6421" w:rsidRPr="008B1114" w:rsidRDefault="00BF6421" w:rsidP="00BB4174">
            <w:pPr>
              <w:suppressAutoHyphens/>
              <w:spacing w:line="256" w:lineRule="auto"/>
              <w:jc w:val="center"/>
              <w:rPr>
                <w:rFonts w:eastAsia="Times New Roman"/>
                <w:b/>
                <w:color w:val="292929"/>
                <w:lang w:val="en-GB"/>
              </w:rPr>
            </w:pPr>
            <w:r w:rsidRPr="008B1114">
              <w:rPr>
                <w:rFonts w:eastAsia="Times New Roman"/>
                <w:b/>
                <w:color w:val="292929"/>
              </w:rPr>
              <w:t>%</w:t>
            </w:r>
          </w:p>
        </w:tc>
        <w:tc>
          <w:tcPr>
            <w:tcW w:w="1134" w:type="dxa"/>
            <w:tcBorders>
              <w:bottom w:val="single" w:sz="4" w:space="0" w:color="auto"/>
            </w:tcBorders>
          </w:tcPr>
          <w:p w:rsidR="00BF6421" w:rsidRPr="008B1114" w:rsidRDefault="00BF6421" w:rsidP="00BB4174">
            <w:pPr>
              <w:suppressAutoHyphens/>
              <w:spacing w:line="256" w:lineRule="auto"/>
              <w:jc w:val="center"/>
              <w:rPr>
                <w:rFonts w:eastAsia="Times New Roman"/>
                <w:b/>
                <w:color w:val="292929"/>
              </w:rPr>
            </w:pPr>
            <w:r w:rsidRPr="008B1114">
              <w:rPr>
                <w:rFonts w:eastAsia="Times New Roman"/>
                <w:b/>
                <w:color w:val="292929"/>
              </w:rPr>
              <w:t>∑ Santri</w:t>
            </w:r>
          </w:p>
        </w:tc>
        <w:tc>
          <w:tcPr>
            <w:tcW w:w="851" w:type="dxa"/>
            <w:tcBorders>
              <w:bottom w:val="single" w:sz="4" w:space="0" w:color="auto"/>
            </w:tcBorders>
          </w:tcPr>
          <w:p w:rsidR="00BF6421" w:rsidRPr="008B1114" w:rsidRDefault="00BF6421" w:rsidP="00BB4174">
            <w:pPr>
              <w:suppressAutoHyphens/>
              <w:spacing w:line="256" w:lineRule="auto"/>
              <w:jc w:val="center"/>
              <w:rPr>
                <w:rFonts w:eastAsia="Times New Roman"/>
                <w:b/>
                <w:color w:val="292929"/>
                <w:lang w:val="en-GB"/>
              </w:rPr>
            </w:pPr>
            <w:r w:rsidRPr="008B1114">
              <w:rPr>
                <w:rFonts w:eastAsia="Times New Roman"/>
                <w:b/>
                <w:color w:val="292929"/>
              </w:rPr>
              <w:t>%</w:t>
            </w:r>
          </w:p>
        </w:tc>
      </w:tr>
      <w:tr w:rsidR="00BF6421" w:rsidRPr="008B1114" w:rsidTr="00BB4174">
        <w:tc>
          <w:tcPr>
            <w:tcW w:w="1769" w:type="dxa"/>
            <w:tcBorders>
              <w:top w:val="single" w:sz="4" w:space="0" w:color="auto"/>
            </w:tcBorders>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Sangat rendah</w:t>
            </w:r>
          </w:p>
        </w:tc>
        <w:tc>
          <w:tcPr>
            <w:tcW w:w="1074"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16</w:t>
            </w:r>
          </w:p>
        </w:tc>
        <w:tc>
          <w:tcPr>
            <w:tcW w:w="992"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8%</w:t>
            </w:r>
          </w:p>
        </w:tc>
        <w:tc>
          <w:tcPr>
            <w:tcW w:w="1134"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18</w:t>
            </w:r>
          </w:p>
        </w:tc>
        <w:tc>
          <w:tcPr>
            <w:tcW w:w="870"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9%</w:t>
            </w:r>
          </w:p>
        </w:tc>
        <w:tc>
          <w:tcPr>
            <w:tcW w:w="1134"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11</w:t>
            </w:r>
          </w:p>
        </w:tc>
        <w:tc>
          <w:tcPr>
            <w:tcW w:w="851" w:type="dxa"/>
            <w:tcBorders>
              <w:top w:val="single" w:sz="4" w:space="0" w:color="auto"/>
            </w:tcBorders>
          </w:tcPr>
          <w:p w:rsidR="00BF6421" w:rsidRPr="008B1114" w:rsidRDefault="00BF6421" w:rsidP="00BB4174">
            <w:pPr>
              <w:suppressAutoHyphens/>
              <w:jc w:val="center"/>
              <w:rPr>
                <w:rFonts w:eastAsia="Times New Roman"/>
              </w:rPr>
            </w:pPr>
            <w:r>
              <w:rPr>
                <w:rFonts w:eastAsia="Times New Roman"/>
              </w:rPr>
              <w:t>6%</w:t>
            </w:r>
          </w:p>
        </w:tc>
      </w:tr>
      <w:tr w:rsidR="00BF6421" w:rsidRPr="008B1114" w:rsidTr="00BB4174">
        <w:tc>
          <w:tcPr>
            <w:tcW w:w="1769" w:type="dxa"/>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Rendah</w:t>
            </w:r>
          </w:p>
        </w:tc>
        <w:tc>
          <w:tcPr>
            <w:tcW w:w="1074" w:type="dxa"/>
          </w:tcPr>
          <w:p w:rsidR="00BF6421" w:rsidRPr="008B1114" w:rsidRDefault="00BF6421" w:rsidP="00BB4174">
            <w:pPr>
              <w:suppressAutoHyphens/>
              <w:jc w:val="center"/>
              <w:rPr>
                <w:rFonts w:eastAsia="Times New Roman"/>
              </w:rPr>
            </w:pPr>
            <w:r>
              <w:rPr>
                <w:rFonts w:eastAsia="Times New Roman"/>
              </w:rPr>
              <w:t>35</w:t>
            </w:r>
          </w:p>
        </w:tc>
        <w:tc>
          <w:tcPr>
            <w:tcW w:w="992" w:type="dxa"/>
          </w:tcPr>
          <w:p w:rsidR="00BF6421" w:rsidRPr="008B1114" w:rsidRDefault="00BF6421" w:rsidP="00BB4174">
            <w:pPr>
              <w:suppressAutoHyphens/>
              <w:jc w:val="center"/>
              <w:rPr>
                <w:rFonts w:eastAsia="Times New Roman"/>
              </w:rPr>
            </w:pPr>
            <w:r>
              <w:rPr>
                <w:rFonts w:eastAsia="Times New Roman"/>
              </w:rPr>
              <w:t>18%</w:t>
            </w:r>
          </w:p>
        </w:tc>
        <w:tc>
          <w:tcPr>
            <w:tcW w:w="1134" w:type="dxa"/>
          </w:tcPr>
          <w:p w:rsidR="00BF6421" w:rsidRPr="008B1114" w:rsidRDefault="00BF6421" w:rsidP="00BB4174">
            <w:pPr>
              <w:suppressAutoHyphens/>
              <w:jc w:val="center"/>
              <w:rPr>
                <w:rFonts w:eastAsia="Times New Roman"/>
              </w:rPr>
            </w:pPr>
            <w:r>
              <w:rPr>
                <w:rFonts w:eastAsia="Times New Roman"/>
              </w:rPr>
              <w:t>41</w:t>
            </w:r>
          </w:p>
        </w:tc>
        <w:tc>
          <w:tcPr>
            <w:tcW w:w="870" w:type="dxa"/>
          </w:tcPr>
          <w:p w:rsidR="00BF6421" w:rsidRPr="008B1114" w:rsidRDefault="00BF6421" w:rsidP="00BB4174">
            <w:pPr>
              <w:suppressAutoHyphens/>
              <w:jc w:val="center"/>
              <w:rPr>
                <w:rFonts w:eastAsia="Times New Roman"/>
              </w:rPr>
            </w:pPr>
            <w:r>
              <w:rPr>
                <w:rFonts w:eastAsia="Times New Roman"/>
              </w:rPr>
              <w:t>21%</w:t>
            </w:r>
          </w:p>
        </w:tc>
        <w:tc>
          <w:tcPr>
            <w:tcW w:w="1134" w:type="dxa"/>
          </w:tcPr>
          <w:p w:rsidR="00BF6421" w:rsidRPr="008B1114" w:rsidRDefault="00BF6421" w:rsidP="00BB4174">
            <w:pPr>
              <w:suppressAutoHyphens/>
              <w:jc w:val="center"/>
              <w:rPr>
                <w:rFonts w:eastAsia="Times New Roman"/>
              </w:rPr>
            </w:pPr>
            <w:r>
              <w:rPr>
                <w:rFonts w:eastAsia="Times New Roman"/>
              </w:rPr>
              <w:t>57</w:t>
            </w:r>
          </w:p>
        </w:tc>
        <w:tc>
          <w:tcPr>
            <w:tcW w:w="851" w:type="dxa"/>
          </w:tcPr>
          <w:p w:rsidR="00BF6421" w:rsidRPr="008B1114" w:rsidRDefault="00BF6421" w:rsidP="00BB4174">
            <w:pPr>
              <w:suppressAutoHyphens/>
              <w:jc w:val="center"/>
              <w:rPr>
                <w:rFonts w:eastAsia="Times New Roman"/>
              </w:rPr>
            </w:pPr>
            <w:r>
              <w:rPr>
                <w:rFonts w:eastAsia="Times New Roman"/>
              </w:rPr>
              <w:t>29%</w:t>
            </w:r>
          </w:p>
        </w:tc>
      </w:tr>
      <w:tr w:rsidR="00BF6421" w:rsidRPr="008B1114" w:rsidTr="00BB4174">
        <w:tc>
          <w:tcPr>
            <w:tcW w:w="1769" w:type="dxa"/>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Sedang</w:t>
            </w:r>
          </w:p>
        </w:tc>
        <w:tc>
          <w:tcPr>
            <w:tcW w:w="1074" w:type="dxa"/>
          </w:tcPr>
          <w:p w:rsidR="00BF6421" w:rsidRPr="008B1114" w:rsidRDefault="00BF6421" w:rsidP="00BB4174">
            <w:pPr>
              <w:suppressAutoHyphens/>
              <w:jc w:val="center"/>
              <w:rPr>
                <w:rFonts w:eastAsia="Times New Roman"/>
              </w:rPr>
            </w:pPr>
            <w:r>
              <w:rPr>
                <w:rFonts w:eastAsia="Times New Roman"/>
              </w:rPr>
              <w:t>86</w:t>
            </w:r>
          </w:p>
        </w:tc>
        <w:tc>
          <w:tcPr>
            <w:tcW w:w="992" w:type="dxa"/>
          </w:tcPr>
          <w:p w:rsidR="00BF6421" w:rsidRPr="008B1114" w:rsidRDefault="00BF6421" w:rsidP="00BB4174">
            <w:pPr>
              <w:suppressAutoHyphens/>
              <w:jc w:val="center"/>
              <w:rPr>
                <w:rFonts w:eastAsia="Times New Roman"/>
              </w:rPr>
            </w:pPr>
            <w:r>
              <w:rPr>
                <w:rFonts w:eastAsia="Times New Roman"/>
              </w:rPr>
              <w:t>44%</w:t>
            </w:r>
          </w:p>
        </w:tc>
        <w:tc>
          <w:tcPr>
            <w:tcW w:w="1134" w:type="dxa"/>
          </w:tcPr>
          <w:p w:rsidR="00BF6421" w:rsidRPr="008B1114" w:rsidRDefault="00BF6421" w:rsidP="00BB4174">
            <w:pPr>
              <w:suppressAutoHyphens/>
              <w:jc w:val="center"/>
              <w:rPr>
                <w:rFonts w:eastAsia="Times New Roman"/>
              </w:rPr>
            </w:pPr>
            <w:r>
              <w:rPr>
                <w:rFonts w:eastAsia="Times New Roman"/>
              </w:rPr>
              <w:t>78</w:t>
            </w:r>
          </w:p>
        </w:tc>
        <w:tc>
          <w:tcPr>
            <w:tcW w:w="870" w:type="dxa"/>
          </w:tcPr>
          <w:p w:rsidR="00BF6421" w:rsidRPr="008B1114" w:rsidRDefault="00BF6421" w:rsidP="00BB4174">
            <w:pPr>
              <w:suppressAutoHyphens/>
              <w:jc w:val="center"/>
              <w:rPr>
                <w:rFonts w:eastAsia="Times New Roman"/>
              </w:rPr>
            </w:pPr>
            <w:r>
              <w:rPr>
                <w:rFonts w:eastAsia="Times New Roman"/>
              </w:rPr>
              <w:t>40%</w:t>
            </w:r>
          </w:p>
        </w:tc>
        <w:tc>
          <w:tcPr>
            <w:tcW w:w="1134" w:type="dxa"/>
          </w:tcPr>
          <w:p w:rsidR="00BF6421" w:rsidRPr="008B1114" w:rsidRDefault="00BF6421" w:rsidP="00BB4174">
            <w:pPr>
              <w:suppressAutoHyphens/>
              <w:jc w:val="center"/>
              <w:rPr>
                <w:rFonts w:eastAsia="Times New Roman"/>
              </w:rPr>
            </w:pPr>
            <w:r>
              <w:rPr>
                <w:rFonts w:eastAsia="Times New Roman"/>
              </w:rPr>
              <w:t>44</w:t>
            </w:r>
          </w:p>
        </w:tc>
        <w:tc>
          <w:tcPr>
            <w:tcW w:w="851" w:type="dxa"/>
          </w:tcPr>
          <w:p w:rsidR="00BF6421" w:rsidRPr="008B1114" w:rsidRDefault="00BF6421" w:rsidP="00BB4174">
            <w:pPr>
              <w:suppressAutoHyphens/>
              <w:jc w:val="center"/>
              <w:rPr>
                <w:rFonts w:eastAsia="Times New Roman"/>
              </w:rPr>
            </w:pPr>
            <w:r>
              <w:rPr>
                <w:rFonts w:eastAsia="Times New Roman"/>
              </w:rPr>
              <w:t>22%</w:t>
            </w:r>
          </w:p>
        </w:tc>
      </w:tr>
      <w:tr w:rsidR="00BF6421" w:rsidRPr="008B1114" w:rsidTr="00BB4174">
        <w:tc>
          <w:tcPr>
            <w:tcW w:w="1769" w:type="dxa"/>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Tinggi</w:t>
            </w:r>
          </w:p>
        </w:tc>
        <w:tc>
          <w:tcPr>
            <w:tcW w:w="1074" w:type="dxa"/>
          </w:tcPr>
          <w:p w:rsidR="00BF6421" w:rsidRPr="008B1114" w:rsidRDefault="00BF6421" w:rsidP="00BB4174">
            <w:pPr>
              <w:suppressAutoHyphens/>
              <w:jc w:val="center"/>
              <w:rPr>
                <w:rFonts w:eastAsia="Times New Roman"/>
              </w:rPr>
            </w:pPr>
            <w:r>
              <w:rPr>
                <w:rFonts w:eastAsia="Times New Roman"/>
              </w:rPr>
              <w:t>58</w:t>
            </w:r>
          </w:p>
        </w:tc>
        <w:tc>
          <w:tcPr>
            <w:tcW w:w="992" w:type="dxa"/>
          </w:tcPr>
          <w:p w:rsidR="00BF6421" w:rsidRPr="008B1114" w:rsidRDefault="00BF6421" w:rsidP="00BB4174">
            <w:pPr>
              <w:suppressAutoHyphens/>
              <w:jc w:val="center"/>
              <w:rPr>
                <w:rFonts w:eastAsia="Times New Roman"/>
              </w:rPr>
            </w:pPr>
            <w:r>
              <w:rPr>
                <w:rFonts w:eastAsia="Times New Roman"/>
              </w:rPr>
              <w:t>30%</w:t>
            </w:r>
          </w:p>
        </w:tc>
        <w:tc>
          <w:tcPr>
            <w:tcW w:w="1134" w:type="dxa"/>
          </w:tcPr>
          <w:p w:rsidR="00BF6421" w:rsidRPr="008B1114" w:rsidRDefault="00BF6421" w:rsidP="00BB4174">
            <w:pPr>
              <w:suppressAutoHyphens/>
              <w:jc w:val="center"/>
              <w:rPr>
                <w:rFonts w:eastAsia="Times New Roman"/>
              </w:rPr>
            </w:pPr>
            <w:r>
              <w:rPr>
                <w:rFonts w:eastAsia="Times New Roman"/>
              </w:rPr>
              <w:t>56</w:t>
            </w:r>
          </w:p>
        </w:tc>
        <w:tc>
          <w:tcPr>
            <w:tcW w:w="870" w:type="dxa"/>
          </w:tcPr>
          <w:p w:rsidR="00BF6421" w:rsidRPr="008B1114" w:rsidRDefault="00BF6421" w:rsidP="00BB4174">
            <w:pPr>
              <w:suppressAutoHyphens/>
              <w:jc w:val="center"/>
              <w:rPr>
                <w:rFonts w:eastAsia="Times New Roman"/>
              </w:rPr>
            </w:pPr>
            <w:r>
              <w:rPr>
                <w:rFonts w:eastAsia="Times New Roman"/>
              </w:rPr>
              <w:t>29%</w:t>
            </w:r>
          </w:p>
        </w:tc>
        <w:tc>
          <w:tcPr>
            <w:tcW w:w="1134" w:type="dxa"/>
          </w:tcPr>
          <w:p w:rsidR="00BF6421" w:rsidRPr="008B1114" w:rsidRDefault="00BF6421" w:rsidP="00BB4174">
            <w:pPr>
              <w:suppressAutoHyphens/>
              <w:jc w:val="center"/>
              <w:rPr>
                <w:rFonts w:eastAsia="Times New Roman"/>
              </w:rPr>
            </w:pPr>
            <w:r>
              <w:rPr>
                <w:rFonts w:eastAsia="Times New Roman"/>
              </w:rPr>
              <w:t>72</w:t>
            </w:r>
          </w:p>
        </w:tc>
        <w:tc>
          <w:tcPr>
            <w:tcW w:w="851" w:type="dxa"/>
          </w:tcPr>
          <w:p w:rsidR="00BF6421" w:rsidRPr="008B1114" w:rsidRDefault="00BF6421" w:rsidP="00BB4174">
            <w:pPr>
              <w:suppressAutoHyphens/>
              <w:jc w:val="center"/>
              <w:rPr>
                <w:rFonts w:eastAsia="Times New Roman"/>
              </w:rPr>
            </w:pPr>
            <w:r>
              <w:rPr>
                <w:rFonts w:eastAsia="Times New Roman"/>
              </w:rPr>
              <w:t>37%</w:t>
            </w:r>
          </w:p>
        </w:tc>
      </w:tr>
      <w:tr w:rsidR="00BF6421" w:rsidRPr="008B1114" w:rsidTr="00BB4174">
        <w:tc>
          <w:tcPr>
            <w:tcW w:w="1769" w:type="dxa"/>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Sangat tinggi</w:t>
            </w:r>
          </w:p>
        </w:tc>
        <w:tc>
          <w:tcPr>
            <w:tcW w:w="1074" w:type="dxa"/>
          </w:tcPr>
          <w:p w:rsidR="00BF6421" w:rsidRPr="008B1114" w:rsidRDefault="00BF6421" w:rsidP="00BB4174">
            <w:pPr>
              <w:suppressAutoHyphens/>
              <w:jc w:val="center"/>
              <w:rPr>
                <w:rFonts w:eastAsia="Times New Roman"/>
              </w:rPr>
            </w:pPr>
            <w:r>
              <w:rPr>
                <w:rFonts w:eastAsia="Times New Roman"/>
              </w:rPr>
              <w:t>0</w:t>
            </w:r>
          </w:p>
        </w:tc>
        <w:tc>
          <w:tcPr>
            <w:tcW w:w="992" w:type="dxa"/>
          </w:tcPr>
          <w:p w:rsidR="00BF6421" w:rsidRPr="008B1114" w:rsidRDefault="00BF6421" w:rsidP="00BB4174">
            <w:pPr>
              <w:suppressAutoHyphens/>
              <w:jc w:val="center"/>
              <w:rPr>
                <w:rFonts w:eastAsia="Times New Roman"/>
              </w:rPr>
            </w:pPr>
            <w:r>
              <w:rPr>
                <w:rFonts w:eastAsia="Times New Roman"/>
              </w:rPr>
              <w:t>0%</w:t>
            </w:r>
          </w:p>
        </w:tc>
        <w:tc>
          <w:tcPr>
            <w:tcW w:w="1134" w:type="dxa"/>
          </w:tcPr>
          <w:p w:rsidR="00BF6421" w:rsidRPr="008B1114" w:rsidRDefault="00BF6421" w:rsidP="00BB4174">
            <w:pPr>
              <w:suppressAutoHyphens/>
              <w:jc w:val="center"/>
              <w:rPr>
                <w:rFonts w:eastAsia="Times New Roman"/>
              </w:rPr>
            </w:pPr>
            <w:r>
              <w:rPr>
                <w:rFonts w:eastAsia="Times New Roman"/>
              </w:rPr>
              <w:t>2</w:t>
            </w:r>
          </w:p>
        </w:tc>
        <w:tc>
          <w:tcPr>
            <w:tcW w:w="870" w:type="dxa"/>
          </w:tcPr>
          <w:p w:rsidR="00BF6421" w:rsidRPr="008B1114" w:rsidRDefault="00BF6421" w:rsidP="00BB4174">
            <w:pPr>
              <w:suppressAutoHyphens/>
              <w:jc w:val="center"/>
              <w:rPr>
                <w:rFonts w:eastAsia="Times New Roman"/>
              </w:rPr>
            </w:pPr>
            <w:r>
              <w:rPr>
                <w:rFonts w:eastAsia="Times New Roman"/>
              </w:rPr>
              <w:t>1%</w:t>
            </w:r>
          </w:p>
        </w:tc>
        <w:tc>
          <w:tcPr>
            <w:tcW w:w="1134" w:type="dxa"/>
          </w:tcPr>
          <w:p w:rsidR="00BF6421" w:rsidRPr="008B1114" w:rsidRDefault="00BF6421" w:rsidP="00BB4174">
            <w:pPr>
              <w:suppressAutoHyphens/>
              <w:jc w:val="center"/>
              <w:rPr>
                <w:rFonts w:eastAsia="Times New Roman"/>
              </w:rPr>
            </w:pPr>
            <w:r>
              <w:rPr>
                <w:rFonts w:eastAsia="Times New Roman"/>
              </w:rPr>
              <w:t>11</w:t>
            </w:r>
          </w:p>
        </w:tc>
        <w:tc>
          <w:tcPr>
            <w:tcW w:w="851" w:type="dxa"/>
          </w:tcPr>
          <w:p w:rsidR="00BF6421" w:rsidRPr="008B1114" w:rsidRDefault="00BF6421" w:rsidP="00BB4174">
            <w:pPr>
              <w:suppressAutoHyphens/>
              <w:jc w:val="center"/>
              <w:rPr>
                <w:rFonts w:eastAsia="Times New Roman"/>
              </w:rPr>
            </w:pPr>
            <w:r>
              <w:rPr>
                <w:rFonts w:eastAsia="Times New Roman"/>
              </w:rPr>
              <w:t>6%</w:t>
            </w:r>
          </w:p>
        </w:tc>
      </w:tr>
      <w:tr w:rsidR="00BF6421" w:rsidRPr="008B1114" w:rsidTr="00BB4174">
        <w:tc>
          <w:tcPr>
            <w:tcW w:w="1769" w:type="dxa"/>
            <w:tcBorders>
              <w:bottom w:val="single" w:sz="4" w:space="0" w:color="auto"/>
            </w:tcBorders>
            <w:hideMark/>
          </w:tcPr>
          <w:p w:rsidR="00BF6421" w:rsidRPr="008B1114" w:rsidRDefault="00BF6421" w:rsidP="00BB4174">
            <w:pPr>
              <w:suppressAutoHyphens/>
              <w:spacing w:line="256" w:lineRule="auto"/>
              <w:jc w:val="center"/>
              <w:rPr>
                <w:rFonts w:eastAsia="Times New Roman"/>
                <w:color w:val="292929"/>
                <w:lang w:val="en-GB"/>
              </w:rPr>
            </w:pPr>
            <w:r w:rsidRPr="008B1114">
              <w:rPr>
                <w:rFonts w:eastAsia="Times New Roman"/>
                <w:color w:val="292929"/>
              </w:rPr>
              <w:t>Jumlah</w:t>
            </w:r>
          </w:p>
        </w:tc>
        <w:tc>
          <w:tcPr>
            <w:tcW w:w="1074" w:type="dxa"/>
            <w:tcBorders>
              <w:bottom w:val="single" w:sz="4" w:space="0" w:color="auto"/>
            </w:tcBorders>
            <w:hideMark/>
          </w:tcPr>
          <w:p w:rsidR="00BF6421" w:rsidRPr="008B1114" w:rsidRDefault="00BF6421" w:rsidP="00BB4174">
            <w:pPr>
              <w:suppressAutoHyphens/>
              <w:jc w:val="center"/>
              <w:rPr>
                <w:rFonts w:eastAsia="Times New Roman"/>
              </w:rPr>
            </w:pPr>
            <w:r w:rsidRPr="008B1114">
              <w:rPr>
                <w:rFonts w:eastAsia="Times New Roman"/>
              </w:rPr>
              <w:t>195</w:t>
            </w:r>
          </w:p>
        </w:tc>
        <w:tc>
          <w:tcPr>
            <w:tcW w:w="992" w:type="dxa"/>
            <w:tcBorders>
              <w:bottom w:val="single" w:sz="4" w:space="0" w:color="auto"/>
            </w:tcBorders>
            <w:hideMark/>
          </w:tcPr>
          <w:p w:rsidR="00BF6421" w:rsidRPr="008B1114" w:rsidRDefault="00BF6421" w:rsidP="00BB4174">
            <w:pPr>
              <w:suppressAutoHyphens/>
              <w:jc w:val="center"/>
              <w:rPr>
                <w:rFonts w:eastAsia="Times New Roman"/>
              </w:rPr>
            </w:pPr>
            <w:r w:rsidRPr="008B1114">
              <w:rPr>
                <w:rFonts w:eastAsia="Times New Roman"/>
              </w:rPr>
              <w:t>100 %</w:t>
            </w:r>
          </w:p>
        </w:tc>
        <w:tc>
          <w:tcPr>
            <w:tcW w:w="1134" w:type="dxa"/>
            <w:tcBorders>
              <w:bottom w:val="single" w:sz="4" w:space="0" w:color="auto"/>
            </w:tcBorders>
            <w:hideMark/>
          </w:tcPr>
          <w:p w:rsidR="00BF6421" w:rsidRPr="008B1114" w:rsidRDefault="00BF6421" w:rsidP="00BB4174">
            <w:pPr>
              <w:suppressAutoHyphens/>
              <w:jc w:val="center"/>
              <w:rPr>
                <w:rFonts w:eastAsia="Times New Roman"/>
              </w:rPr>
            </w:pPr>
            <w:r w:rsidRPr="008B1114">
              <w:rPr>
                <w:rFonts w:eastAsia="Times New Roman"/>
              </w:rPr>
              <w:t>195</w:t>
            </w:r>
          </w:p>
        </w:tc>
        <w:tc>
          <w:tcPr>
            <w:tcW w:w="870" w:type="dxa"/>
            <w:tcBorders>
              <w:bottom w:val="single" w:sz="4" w:space="0" w:color="auto"/>
            </w:tcBorders>
            <w:hideMark/>
          </w:tcPr>
          <w:p w:rsidR="00BF6421" w:rsidRPr="008B1114" w:rsidRDefault="00BF6421" w:rsidP="00BB4174">
            <w:pPr>
              <w:suppressAutoHyphens/>
              <w:jc w:val="center"/>
              <w:rPr>
                <w:rFonts w:eastAsia="Times New Roman"/>
              </w:rPr>
            </w:pPr>
            <w:r w:rsidRPr="008B1114">
              <w:rPr>
                <w:rFonts w:eastAsia="Times New Roman"/>
              </w:rPr>
              <w:t>100 %</w:t>
            </w:r>
          </w:p>
        </w:tc>
        <w:tc>
          <w:tcPr>
            <w:tcW w:w="1134" w:type="dxa"/>
            <w:tcBorders>
              <w:bottom w:val="single" w:sz="4" w:space="0" w:color="auto"/>
            </w:tcBorders>
          </w:tcPr>
          <w:p w:rsidR="00BF6421" w:rsidRPr="008B1114" w:rsidRDefault="00BF6421" w:rsidP="00BB4174">
            <w:pPr>
              <w:suppressAutoHyphens/>
              <w:jc w:val="center"/>
              <w:rPr>
                <w:rFonts w:eastAsia="Times New Roman"/>
              </w:rPr>
            </w:pPr>
            <w:r w:rsidRPr="008B1114">
              <w:rPr>
                <w:rFonts w:eastAsia="Times New Roman"/>
              </w:rPr>
              <w:t>195</w:t>
            </w:r>
          </w:p>
        </w:tc>
        <w:tc>
          <w:tcPr>
            <w:tcW w:w="851" w:type="dxa"/>
            <w:tcBorders>
              <w:bottom w:val="single" w:sz="4" w:space="0" w:color="auto"/>
            </w:tcBorders>
          </w:tcPr>
          <w:p w:rsidR="00BF6421" w:rsidRPr="008B1114" w:rsidRDefault="00BF6421" w:rsidP="00BB4174">
            <w:pPr>
              <w:suppressAutoHyphens/>
              <w:jc w:val="center"/>
              <w:rPr>
                <w:rFonts w:eastAsia="Times New Roman"/>
              </w:rPr>
            </w:pPr>
            <w:r w:rsidRPr="008B1114">
              <w:rPr>
                <w:rFonts w:eastAsia="Times New Roman"/>
              </w:rPr>
              <w:t>100 %</w:t>
            </w:r>
          </w:p>
        </w:tc>
      </w:tr>
    </w:tbl>
    <w:p w:rsidR="00BF6421" w:rsidRPr="00550B85" w:rsidRDefault="00BF6421" w:rsidP="00BF6421">
      <w:pPr>
        <w:pBdr>
          <w:top w:val="nil"/>
          <w:left w:val="nil"/>
          <w:bottom w:val="nil"/>
          <w:right w:val="nil"/>
          <w:between w:val="nil"/>
        </w:pBdr>
        <w:ind w:hanging="2"/>
        <w:jc w:val="both"/>
        <w:rPr>
          <w:rFonts w:eastAsia="Times New Roman"/>
        </w:rPr>
      </w:pPr>
    </w:p>
    <w:p w:rsidR="00BF6421" w:rsidRPr="00550B85" w:rsidRDefault="00BF6421" w:rsidP="00BF6421">
      <w:pPr>
        <w:pBdr>
          <w:top w:val="nil"/>
          <w:left w:val="nil"/>
          <w:bottom w:val="nil"/>
          <w:right w:val="nil"/>
          <w:between w:val="nil"/>
        </w:pBdr>
        <w:ind w:firstLine="720"/>
        <w:jc w:val="both"/>
        <w:rPr>
          <w:rFonts w:eastAsia="Times New Roman"/>
        </w:rPr>
      </w:pPr>
      <w:r w:rsidRPr="00550B85">
        <w:rPr>
          <w:rFonts w:eastAsia="Times New Roman"/>
        </w:rPr>
        <w:t xml:space="preserve">Berdasarkan tabel 6 kategorisasi skor subjek menunjukkan bahwa 195 subjek penelitian, 16 santri memiliki </w:t>
      </w:r>
      <w:r w:rsidRPr="00550B85">
        <w:rPr>
          <w:rFonts w:eastAsia="Times New Roman"/>
          <w:i/>
        </w:rPr>
        <w:t>academic bouyancy</w:t>
      </w:r>
      <w:r w:rsidRPr="00550B85">
        <w:rPr>
          <w:rFonts w:eastAsia="Times New Roman"/>
        </w:rPr>
        <w:t xml:space="preserve"> dalam kategori sangat rendah dengan presentase sebesar 8%, 35 santri memiliki </w:t>
      </w:r>
      <w:r w:rsidRPr="00550B85">
        <w:rPr>
          <w:rFonts w:eastAsia="Times New Roman"/>
          <w:i/>
        </w:rPr>
        <w:t>academic bouyancy</w:t>
      </w:r>
      <w:r w:rsidRPr="00550B85">
        <w:rPr>
          <w:rFonts w:eastAsia="Times New Roman"/>
        </w:rPr>
        <w:t xml:space="preserve"> dalam kategori rendah dengan prosentase sebesar 18%, 86 santri memiliki </w:t>
      </w:r>
      <w:r w:rsidRPr="00550B85">
        <w:rPr>
          <w:rFonts w:eastAsia="Times New Roman"/>
          <w:i/>
        </w:rPr>
        <w:t>academic bouyancy</w:t>
      </w:r>
      <w:r w:rsidRPr="00550B85">
        <w:rPr>
          <w:rFonts w:eastAsia="Times New Roman"/>
        </w:rPr>
        <w:t xml:space="preserve"> dalam kategori sedang dengan prosentase sebesar 44%, 58 santri berada dalam kategori tinggi dengan prosentase 30% dan tidak ada santri yang memiliki kategori sangat tinggi dalam memiliki </w:t>
      </w:r>
      <w:r w:rsidRPr="00550B85">
        <w:rPr>
          <w:rFonts w:eastAsia="Times New Roman"/>
          <w:i/>
        </w:rPr>
        <w:t>academic bouyancy</w:t>
      </w:r>
      <w:r w:rsidRPr="00550B85">
        <w:rPr>
          <w:rFonts w:eastAsia="Times New Roman"/>
        </w:rPr>
        <w:t>.</w:t>
      </w:r>
    </w:p>
    <w:p w:rsidR="00BF6421" w:rsidRPr="00550B85" w:rsidRDefault="00BF6421" w:rsidP="00BF6421">
      <w:pPr>
        <w:pBdr>
          <w:top w:val="nil"/>
          <w:left w:val="nil"/>
          <w:bottom w:val="nil"/>
          <w:right w:val="nil"/>
          <w:between w:val="nil"/>
        </w:pBdr>
        <w:ind w:firstLine="720"/>
        <w:jc w:val="both"/>
        <w:rPr>
          <w:rFonts w:eastAsia="Times New Roman"/>
        </w:rPr>
      </w:pPr>
      <w:r w:rsidRPr="00550B85">
        <w:rPr>
          <w:rFonts w:eastAsia="Times New Roman"/>
        </w:rPr>
        <w:t xml:space="preserve">Santri Pondok Pesantren An-Nur Tanggulangin memiliki sebanyak 18 santri yang memiliki </w:t>
      </w:r>
      <w:r w:rsidRPr="00550B85">
        <w:rPr>
          <w:rFonts w:eastAsia="Times New Roman"/>
          <w:i/>
        </w:rPr>
        <w:t xml:space="preserve">self-regulated learning </w:t>
      </w:r>
      <w:r w:rsidRPr="00550B85">
        <w:rPr>
          <w:rFonts w:eastAsia="Times New Roman"/>
        </w:rPr>
        <w:t>dalam kategori sangat rendah dengan prosentase 9%, sebanyak 41 santri dalam kategori rendah dengan prosentase sebesar 21%, sebanyak 78 santri dalam kategori sedang dengan prosentase 40%, sebanyak 56 santri dengan kategori tinggi dengan prosentase 29% dan 2 santri yang memiliki kategori sangat tinggi dengan prosentase sebanyak 1%.</w:t>
      </w:r>
    </w:p>
    <w:p w:rsidR="00BF6421" w:rsidRDefault="00BF6421" w:rsidP="00BF6421">
      <w:pPr>
        <w:pBdr>
          <w:top w:val="nil"/>
          <w:left w:val="nil"/>
          <w:bottom w:val="nil"/>
          <w:right w:val="nil"/>
          <w:between w:val="nil"/>
        </w:pBdr>
        <w:spacing w:after="240"/>
        <w:ind w:firstLine="720"/>
        <w:jc w:val="both"/>
        <w:rPr>
          <w:rFonts w:eastAsia="Times New Roman"/>
        </w:rPr>
      </w:pPr>
      <w:r w:rsidRPr="00550B85">
        <w:rPr>
          <w:rFonts w:eastAsia="Times New Roman"/>
        </w:rPr>
        <w:t xml:space="preserve">Santri Pondok Pesantren An-Nur Tanggulangin memiliki sebanyak 11 santri yang memiliki </w:t>
      </w:r>
      <w:r w:rsidRPr="00550B85">
        <w:rPr>
          <w:rFonts w:eastAsia="Times New Roman"/>
          <w:i/>
        </w:rPr>
        <w:t>school adjustment</w:t>
      </w:r>
      <w:r w:rsidRPr="00550B85">
        <w:rPr>
          <w:rFonts w:eastAsia="Times New Roman"/>
        </w:rPr>
        <w:t xml:space="preserve"> dalam kategori sangat rendah dengan prosentase 6%, sebanyak 57 santri dalam kategori rendah dengan prosentase sebesar 29%, sebanyak 44 santri dalam kategori sedang dengan prosentase 22%, sebanyak 72 santri dengan kategori tinggi dengan prosentase 37% dan 11 santri yang memiliki kategori sangat tinggi dengan prosentase sebanyak 6%.</w:t>
      </w:r>
    </w:p>
    <w:p w:rsidR="00BF6421" w:rsidRDefault="00BF6421" w:rsidP="00BF6421">
      <w:pPr>
        <w:ind w:hanging="2"/>
        <w:rPr>
          <w:rFonts w:eastAsia="Times New Roman"/>
          <w:b/>
        </w:rPr>
      </w:pPr>
      <w:r w:rsidRPr="00550B85">
        <w:rPr>
          <w:rFonts w:eastAsia="Times New Roman"/>
          <w:b/>
        </w:rPr>
        <w:t xml:space="preserve">Pembahasan </w:t>
      </w:r>
    </w:p>
    <w:p w:rsidR="00BF6421" w:rsidRDefault="00BF6421" w:rsidP="00BF6421">
      <w:pPr>
        <w:ind w:firstLine="719"/>
        <w:jc w:val="both"/>
        <w:rPr>
          <w:rFonts w:eastAsia="Times New Roman"/>
          <w:b/>
        </w:rPr>
      </w:pPr>
      <w:r w:rsidRPr="00550B85">
        <w:rPr>
          <w:rFonts w:eastAsia="Times New Roman"/>
        </w:rPr>
        <w:t xml:space="preserve">Berdasarkan perolehan hasil diketahui jika terdapat kaitan positif anatara </w:t>
      </w:r>
      <w:r w:rsidRPr="00550B85">
        <w:rPr>
          <w:rFonts w:eastAsia="Times New Roman"/>
          <w:i/>
          <w:iCs/>
        </w:rPr>
        <w:t>academic bouyancy</w:t>
      </w:r>
      <w:r w:rsidRPr="00550B85">
        <w:rPr>
          <w:rFonts w:eastAsia="Times New Roman"/>
        </w:rPr>
        <w:t xml:space="preserve"> dengan </w:t>
      </w:r>
      <w:r w:rsidRPr="00550B85">
        <w:rPr>
          <w:rFonts w:eastAsia="Times New Roman"/>
          <w:i/>
          <w:iCs/>
        </w:rPr>
        <w:t xml:space="preserve">school adjustment. </w:t>
      </w:r>
      <w:r w:rsidRPr="00550B85">
        <w:rPr>
          <w:rFonts w:eastAsia="Times New Roman"/>
        </w:rPr>
        <w:t xml:space="preserve">Kaitan antara </w:t>
      </w:r>
      <w:r w:rsidRPr="00550B85">
        <w:rPr>
          <w:rFonts w:eastAsia="Times New Roman"/>
          <w:i/>
          <w:iCs/>
        </w:rPr>
        <w:t>academic buoyancy</w:t>
      </w:r>
      <w:r w:rsidRPr="00550B85">
        <w:rPr>
          <w:rFonts w:eastAsia="Times New Roman"/>
        </w:rPr>
        <w:t xml:space="preserve"> dan </w:t>
      </w:r>
      <w:r w:rsidRPr="00550B85">
        <w:rPr>
          <w:rFonts w:eastAsia="Times New Roman"/>
          <w:i/>
          <w:iCs/>
        </w:rPr>
        <w:t>school adjustment</w:t>
      </w:r>
      <w:r w:rsidRPr="00550B85">
        <w:rPr>
          <w:rFonts w:eastAsia="Times New Roman"/>
        </w:rPr>
        <w:t xml:space="preserve"> terletak pada kemampuan siswa untuk mengatasi tantangan akademik dan beradaptasi dengan baik di lingkungan sekolah. Siswa yang memiliki </w:t>
      </w:r>
      <w:r w:rsidRPr="00550B85">
        <w:rPr>
          <w:rFonts w:eastAsia="Times New Roman"/>
          <w:i/>
          <w:iCs/>
        </w:rPr>
        <w:t>academic buoyancy</w:t>
      </w:r>
      <w:r w:rsidRPr="00550B85">
        <w:rPr>
          <w:rFonts w:eastAsia="Times New Roman"/>
        </w:rPr>
        <w:t xml:space="preserve"> yang tinggi cenderung lebih baik dalam menyesuaikan diri dengan lingkungan sekolah dan berhasil berinteraksi dengan teman sekelas dan guru.</w:t>
      </w:r>
    </w:p>
    <w:p w:rsidR="00BF6421" w:rsidRDefault="00BF6421" w:rsidP="00BF6421">
      <w:pPr>
        <w:ind w:firstLine="719"/>
        <w:jc w:val="both"/>
        <w:rPr>
          <w:rFonts w:eastAsia="Times New Roman"/>
          <w:b/>
        </w:rPr>
      </w:pPr>
      <w:r w:rsidRPr="00550B85">
        <w:rPr>
          <w:rFonts w:eastAsia="Times New Roman"/>
        </w:rPr>
        <w:t xml:space="preserve">Dengan </w:t>
      </w:r>
      <w:r w:rsidRPr="00550B85">
        <w:rPr>
          <w:rFonts w:eastAsia="Times New Roman"/>
          <w:i/>
          <w:iCs/>
        </w:rPr>
        <w:t>academic buoyancy</w:t>
      </w:r>
      <w:r w:rsidRPr="00550B85">
        <w:rPr>
          <w:rFonts w:eastAsia="Times New Roman"/>
        </w:rPr>
        <w:t xml:space="preserve"> yang kuat, siswa akan cenderung memiliki sikap positif terhadap tantangan akademik dan tidak mudah putus asa ketika menghadapi kesulitan dalam belajar. Hal ini dapat membantu mereka mengatasi stres dan tekanan belajar, sehingga mereka dapat lebih fokus pada proses pembelajaran dan berpartisipasi aktif dalam kegiatan sekolah</w:t>
      </w:r>
      <w:r w:rsidRPr="00550B85">
        <w:rPr>
          <w:rFonts w:eastAsia="Times New Roman"/>
          <w:i/>
          <w:iCs/>
        </w:rPr>
        <w:t>.</w:t>
      </w:r>
      <w:r w:rsidRPr="00550B85">
        <w:rPr>
          <w:rFonts w:eastAsia="Times New Roman"/>
        </w:rPr>
        <w:t xml:space="preserve"> Hasil tersebut sesuai dengan Penelitian oleh </w:t>
      </w:r>
      <w:sdt>
        <w:sdtPr>
          <w:rPr>
            <w:rFonts w:eastAsia="Times New Roman"/>
            <w:color w:val="000000"/>
          </w:rPr>
          <w:tag w:val="MENDELEY_CITATION_v3_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"/>
          <w:id w:val="1829936136"/>
          <w:placeholder>
            <w:docPart w:val="C4A630C328A14F1CB722F4597B85046D"/>
          </w:placeholder>
        </w:sdtPr>
        <w:sdtEndPr/>
        <w:sdtContent>
          <w:r w:rsidRPr="00550B85">
            <w:rPr>
              <w:rFonts w:eastAsia="Times New Roman"/>
              <w:color w:val="000000"/>
            </w:rPr>
            <w:t>(Azarian, 2020)</w:t>
          </w:r>
        </w:sdtContent>
      </w:sdt>
      <w:r w:rsidRPr="00550B85">
        <w:rPr>
          <w:rFonts w:eastAsia="Times New Roman"/>
          <w:color w:val="000000"/>
        </w:rPr>
        <w:t xml:space="preserve"> </w:t>
      </w:r>
      <w:r w:rsidRPr="00550B85">
        <w:rPr>
          <w:rFonts w:eastAsia="Times New Roman"/>
        </w:rPr>
        <w:t xml:space="preserve">juga sejalan dengan penelitian ini, yang menyatakan bahwa </w:t>
      </w:r>
      <w:r w:rsidRPr="00550B85">
        <w:rPr>
          <w:rFonts w:eastAsia="Times New Roman"/>
          <w:i/>
          <w:iCs/>
        </w:rPr>
        <w:t>academic buoyancy</w:t>
      </w:r>
      <w:r w:rsidRPr="00550B85">
        <w:rPr>
          <w:rFonts w:eastAsia="Times New Roman"/>
        </w:rPr>
        <w:t xml:space="preserve"> (ketahanan akademik) efektif dalam meningkatkan penyesuaian akademik siswa (p &lt; 0/001). Selain itu, penelitian </w:t>
      </w:r>
      <w:r w:rsidR="00B720ED">
        <w:rPr>
          <w:rFonts w:eastAsia="Times New Roman"/>
        </w:rPr>
        <w:fldChar w:fldCharType="begin" w:fldLock="1"/>
      </w:r>
      <w:r w:rsidR="00F8707E">
        <w:rPr>
          <w:rFonts w:eastAsia="Times New Roman"/>
        </w:rPr>
        <w:instrText>ADDIN CSL_CITATION {"citationItems":[{"id":"ITEM-1","itemData":{"abstract":"Purpose: The purpose of present study was determining the effectiveness of academic buoyancy training on academic engagement and adjustment to school in firth high school students. Methodology: This study in terms of purpose was applied and in terms of methodology was semi -experimental with a pretest and posttest design with control group. The research population was firth high school girl students of District 9 of Tehran city in academic years of 2019 -20. The research sample was 50 people who were selected by available sampling method and randomly replaced into two equal groups (each group 25 people). The experimental group underwent 12 sessions of 70 -minute academic buoyancy training and the control group did not see training. Research tools were the questionnaires of academic engagement Fredricks and et al (2004) and adjustment to school Sinha &amp; Singh (1993). Data were analyzed with chi -square, independent t and multivariate analysis of covariance methods in the SPSS version 21 software. Findings: The findings showed that the experimental and control groups had a significant difference in both variables of academic engagement and adjustment to school. In the other words, academic buoyancy training led to increased academic engagement and adjustment to school in firth high school students (P&lt;0/05). Conclusion: Based on the results, it is recommended that school counselors and psychologists used the academic buoyancy training method to improve academic characteristics, especially to increase academic engagement and adjustment to school","author":[{"dropping-particle":"","family":"Ershadi","given":"Chahardeh Shima","non-dropping-particle":"","parse-names":false,"suffix":""}],"container-title":"Iranian journal of educational Sociology","id":"ITEM-1","issue":"5","issued":{"date-parts":[["2017"]]},"page":"29-36","title":"Iranian journal of educational Sociology","type":"article-journal","volume":"1"},"uris":["http://www.mendeley.com/documents/?uuid=1bd66cd5-7e81-427c-b10c-a942757ab914"]}],"mendeley":{"formattedCitation":"(Ershadi, 2017)","plainTextFormattedCitation":"(Ershadi, 2017)","previouslyFormattedCitation":"[20]"},"properties":{"noteIndex":0},"schema":"https://github.com/citation-style-language/schema/raw/master/csl-citation.json"}</w:instrText>
      </w:r>
      <w:r w:rsidR="00B720ED">
        <w:rPr>
          <w:rFonts w:eastAsia="Times New Roman"/>
        </w:rPr>
        <w:fldChar w:fldCharType="separate"/>
      </w:r>
      <w:r w:rsidR="00F8707E" w:rsidRPr="00F8707E">
        <w:rPr>
          <w:rFonts w:eastAsia="Times New Roman"/>
        </w:rPr>
        <w:t>(Ershadi, 2017)</w:t>
      </w:r>
      <w:r w:rsidR="00B720ED">
        <w:rPr>
          <w:rFonts w:eastAsia="Times New Roman"/>
        </w:rPr>
        <w:fldChar w:fldCharType="end"/>
      </w:r>
      <w:r w:rsidR="00B720ED">
        <w:rPr>
          <w:rFonts w:eastAsia="Times New Roman"/>
          <w:lang w:val="en-US"/>
        </w:rPr>
        <w:t xml:space="preserve"> </w:t>
      </w:r>
      <w:r w:rsidR="007A6038">
        <w:rPr>
          <w:rFonts w:eastAsia="Times New Roman"/>
          <w:color w:val="000000"/>
          <w:lang w:val="en-US"/>
        </w:rPr>
        <w:t xml:space="preserve"> </w:t>
      </w:r>
      <w:r w:rsidRPr="00550B85">
        <w:rPr>
          <w:rFonts w:eastAsia="Times New Roman"/>
        </w:rPr>
        <w:t xml:space="preserve">juga menunjukkan bahwa </w:t>
      </w:r>
      <w:r w:rsidRPr="00BA6264">
        <w:rPr>
          <w:rFonts w:eastAsia="Times New Roman"/>
          <w:i/>
        </w:rPr>
        <w:t>academic buoyancy</w:t>
      </w:r>
      <w:r w:rsidRPr="00550B85">
        <w:rPr>
          <w:rFonts w:eastAsia="Times New Roman"/>
        </w:rPr>
        <w:t xml:space="preserve"> dapat meningkatkan penyesuaian siswa di sekolah. Demikian pula, </w:t>
      </w:r>
      <w:r w:rsidR="00B720ED">
        <w:rPr>
          <w:rFonts w:eastAsia="Times New Roman"/>
        </w:rPr>
        <w:fldChar w:fldCharType="begin" w:fldLock="1"/>
      </w:r>
      <w:r w:rsidR="00F8707E">
        <w:rPr>
          <w:rFonts w:eastAsia="Times New Roman"/>
        </w:rPr>
        <w:instrText>ADDIN CSL_CITATION {"citationItems":[{"id":"ITEM-1","itemData":{"DOI":"10.1007/s10212-017-0347-8","ISSN":"18785174","abstract":"Considering the pivotal role of academic adjustment for student success, it is important to gain insight into how several motivational and behavioural factors affect academic adjustment and the extent to which academic adjustment influences student success. This empirical study investigated how intrinsic motivation, academic self-efficacy, self-regulated study behaviour and satisfaction with the chosen degree programme influenced academic adjustment in university and how these variables and adjustment affected three important indicators of student success: grade point average (GPA), attained number of credits (ECTS) and intention to persist. The sample consisted of 243 first-year university students in the Netherlands. Structural equation modelling showed that academic adjustment was influenced by intrinsic motivation, self-regulated study behaviour and degree programme satisfaction, which together explained 72% of the variance in adjustment. Motivational and behavioural variables did not influence GPA and credits directly but through academic adjustment. Furthermore, only satisfaction with the degree programme predicted intention to persist. These results point to the importance of academic adjustment in predicting university GPA and credits and the pivotal role of satisfaction with the degree programme in predicting intention to persist. Universities could integrate the development of self-regulated study skills—the biggest contributor to academic adjustment—in the first-year programme. Moreover, looking at the importance of students’ satisfaction with the programme, communication and collaboration between secondary schools and universities should be enhanced in order to help students to choose a university degree programme that matches their abilities, interests and values.","author":[{"dropping-particle":"","family":"Rooij","given":"Els C.M.","non-dropping-particle":"van","parse-names":false,"suffix":""},{"dropping-particle":"","family":"Jansen","given":"Ellen P.W.A.","non-dropping-particle":"","parse-names":false,"suffix":""},{"dropping-particle":"","family":"Grift","given":"Wim J.C.M.","non-dropping-particle":"van de","parse-names":false,"suffix":""}],"container-title":"European Journal of Psychology of Education","id":"ITEM-1","issue":"4","issued":{"date-parts":[["2018"]]},"page":"749-767","publisher":"European Journal of Psychology of Education","title":"First-year university students’ academic success: the importance of academic adjustment","type":"article-journal","volume":"33"},"uris":["http://www.mendeley.com/documents/?uuid=58aabfd3-e0e7-4f7d-b3bd-9346fadf95de"]}],"mendeley":{"formattedCitation":"(van Rooij et al., 2018)","plainTextFormattedCitation":"(van Rooij et al., 2018)","previouslyFormattedCitation":"[21]"},"properties":{"noteIndex":0},"schema":"https://github.com/citation-style-language/schema/raw/master/csl-citation.json"}</w:instrText>
      </w:r>
      <w:r w:rsidR="00B720ED">
        <w:rPr>
          <w:rFonts w:eastAsia="Times New Roman"/>
        </w:rPr>
        <w:fldChar w:fldCharType="separate"/>
      </w:r>
      <w:r w:rsidR="00F8707E" w:rsidRPr="00F8707E">
        <w:rPr>
          <w:rFonts w:eastAsia="Times New Roman"/>
        </w:rPr>
        <w:t>(van Rooij et al., 2018)</w:t>
      </w:r>
      <w:r w:rsidR="00B720ED">
        <w:rPr>
          <w:rFonts w:eastAsia="Times New Roman"/>
        </w:rPr>
        <w:fldChar w:fldCharType="end"/>
      </w:r>
      <w:r w:rsidR="00B720ED">
        <w:rPr>
          <w:rFonts w:eastAsia="Times New Roman"/>
          <w:lang w:val="en-US"/>
        </w:rPr>
        <w:t xml:space="preserve"> </w:t>
      </w:r>
      <w:r w:rsidRPr="00550B85">
        <w:rPr>
          <w:rFonts w:eastAsia="Times New Roman"/>
        </w:rPr>
        <w:t xml:space="preserve">juga mendukung hasil dari penelitian ini, bahwa </w:t>
      </w:r>
      <w:r w:rsidRPr="00BA6264">
        <w:rPr>
          <w:rFonts w:eastAsia="Times New Roman"/>
          <w:i/>
        </w:rPr>
        <w:t>academic buoyancy</w:t>
      </w:r>
      <w:r w:rsidRPr="00550B85">
        <w:rPr>
          <w:rFonts w:eastAsia="Times New Roman"/>
        </w:rPr>
        <w:t xml:space="preserve"> memiliki hubungan positif yang signifikan dengan penyesuaian siswa. Begitu juga, penelitian yang dilakukan oleh </w:t>
      </w:r>
      <w:sdt>
        <w:sdtPr>
          <w:rPr>
            <w:rFonts w:eastAsia="Times New Roman"/>
            <w:color w:val="000000"/>
          </w:rPr>
          <w:tag w:val="MENDELEY_CITATION_v3_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"/>
          <w:id w:val="-295144898"/>
          <w:placeholder>
            <w:docPart w:val="C4A630C328A14F1CB722F4597B85046D"/>
          </w:placeholder>
        </w:sdtPr>
        <w:sdtEndPr/>
        <w:sdtContent>
          <w:r w:rsidRPr="00550B85">
            <w:rPr>
              <w:rFonts w:eastAsia="Times New Roman"/>
              <w:color w:val="000000"/>
            </w:rPr>
            <w:t>(Yu, 2019)</w:t>
          </w:r>
        </w:sdtContent>
      </w:sdt>
      <w:r>
        <w:rPr>
          <w:rFonts w:eastAsia="Times New Roman"/>
          <w:color w:val="000000"/>
        </w:rPr>
        <w:t xml:space="preserve"> </w:t>
      </w:r>
      <w:r w:rsidRPr="00550B85">
        <w:rPr>
          <w:rFonts w:eastAsia="Times New Roman"/>
        </w:rPr>
        <w:t xml:space="preserve">menyimpulkan bahwa </w:t>
      </w:r>
      <w:r w:rsidRPr="00BA6264">
        <w:rPr>
          <w:rFonts w:eastAsia="Times New Roman"/>
          <w:i/>
        </w:rPr>
        <w:t>academic buoyancy</w:t>
      </w:r>
      <w:r w:rsidRPr="00550B85">
        <w:rPr>
          <w:rFonts w:eastAsia="Times New Roman"/>
        </w:rPr>
        <w:t xml:space="preserve"> berhubungan positif dan signifikan dengan penyesuaian siswa berdasarkan keterlibatan siswa dalam kegiatan akademik.</w:t>
      </w:r>
    </w:p>
    <w:p w:rsidR="00BF6421" w:rsidRPr="00BF6421" w:rsidRDefault="00BF6421" w:rsidP="00BF6421">
      <w:pPr>
        <w:ind w:firstLine="719"/>
        <w:jc w:val="both"/>
        <w:rPr>
          <w:rFonts w:eastAsia="Times New Roman"/>
          <w:b/>
        </w:rPr>
      </w:pPr>
      <w:r w:rsidRPr="00550B85">
        <w:rPr>
          <w:rFonts w:eastAsia="Times New Roman"/>
        </w:rPr>
        <w:t xml:space="preserve">Pernyataan selanjutnya yang diperoleh yaitu hubungan </w:t>
      </w:r>
      <w:r w:rsidRPr="00550B85">
        <w:rPr>
          <w:rFonts w:eastAsia="Times New Roman"/>
          <w:i/>
          <w:iCs/>
        </w:rPr>
        <w:t>self-regulated learning</w:t>
      </w:r>
      <w:r w:rsidRPr="00550B85">
        <w:rPr>
          <w:rFonts w:eastAsia="Times New Roman"/>
        </w:rPr>
        <w:t xml:space="preserve"> berkaitan tidak signifikan dengan </w:t>
      </w:r>
      <w:r w:rsidRPr="00550B85">
        <w:rPr>
          <w:rFonts w:eastAsia="Times New Roman"/>
          <w:i/>
          <w:iCs/>
        </w:rPr>
        <w:t>school adjustment</w:t>
      </w:r>
      <w:r w:rsidRPr="00550B85">
        <w:rPr>
          <w:rFonts w:eastAsia="Times New Roman"/>
        </w:rPr>
        <w:t xml:space="preserve">. Hubungan positif antara </w:t>
      </w:r>
      <w:r w:rsidRPr="00550B85">
        <w:rPr>
          <w:rFonts w:eastAsia="Times New Roman"/>
          <w:i/>
          <w:iCs/>
        </w:rPr>
        <w:t>self-regulated learning</w:t>
      </w:r>
      <w:r w:rsidRPr="00550B85">
        <w:rPr>
          <w:rFonts w:eastAsia="Times New Roman"/>
        </w:rPr>
        <w:t xml:space="preserve"> dengan </w:t>
      </w:r>
      <w:r w:rsidRPr="00550B85">
        <w:rPr>
          <w:rFonts w:eastAsia="Times New Roman"/>
          <w:i/>
          <w:iCs/>
        </w:rPr>
        <w:t>school adjustment</w:t>
      </w:r>
      <w:r w:rsidRPr="00550B85">
        <w:rPr>
          <w:rFonts w:eastAsia="Times New Roman"/>
        </w:rPr>
        <w:t xml:space="preserve">. Meskipun hubungannya positif, namun tidak signifikan secara statistik. Ini berarti bahwa korelasi antara </w:t>
      </w:r>
      <w:r w:rsidRPr="00550B85">
        <w:rPr>
          <w:rFonts w:eastAsia="Times New Roman"/>
          <w:i/>
          <w:iCs/>
        </w:rPr>
        <w:t>self-regulated learning</w:t>
      </w:r>
      <w:r w:rsidRPr="00550B85">
        <w:rPr>
          <w:rFonts w:eastAsia="Times New Roman"/>
        </w:rPr>
        <w:t xml:space="preserve"> dan </w:t>
      </w:r>
      <w:r w:rsidRPr="00550B85">
        <w:rPr>
          <w:rFonts w:eastAsia="Times New Roman"/>
          <w:i/>
          <w:iCs/>
        </w:rPr>
        <w:t>school adjustment</w:t>
      </w:r>
      <w:r w:rsidRPr="00550B85">
        <w:rPr>
          <w:rFonts w:eastAsia="Times New Roman"/>
        </w:rPr>
        <w:t xml:space="preserve"> tidak cukup kuat secara statistik untuk menyatakan hubungannya secara pasti, </w:t>
      </w:r>
      <w:r w:rsidRPr="00550B85">
        <w:rPr>
          <w:rFonts w:eastAsia="Times New Roman"/>
        </w:rPr>
        <w:lastRenderedPageBreak/>
        <w:t xml:space="preserve">tetapi masih ada kecenderungan bahwa siswa yang memiliki tingkat </w:t>
      </w:r>
      <w:r w:rsidRPr="00550B85">
        <w:rPr>
          <w:rFonts w:eastAsia="Times New Roman"/>
          <w:i/>
          <w:iCs/>
        </w:rPr>
        <w:t>self-regulated learning</w:t>
      </w:r>
      <w:r w:rsidRPr="00550B85">
        <w:rPr>
          <w:rFonts w:eastAsia="Times New Roman"/>
        </w:rPr>
        <w:t xml:space="preserve"> yang lebih tinggi cenderung memiliki penyesuaian yang lebih baik di sekolah. Santri di Pondok Pesantren An-Nur yang dinilai telah memiliki kemandirian dalam mengkondisikan dirinya untuk siap belajar terlebih yang memiliki motivasi belajar tinggi akan dengan mudah menyesuaikan diri dengan kondisi lingkungan belajar yang dalam konteks ini adalah pondok pesantren. Hasil ini sesuai dengan penelitian sebelumnya yang dilakukan oleh </w:t>
      </w:r>
      <w:sdt>
        <w:sdtPr>
          <w:rPr>
            <w:rFonts w:eastAsia="Times New Roman"/>
            <w:color w:val="000000"/>
          </w:rPr>
          <w:tag w:val="MENDELEY_CITATION_v3_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"/>
          <w:id w:val="-1530946358"/>
          <w:placeholder>
            <w:docPart w:val="C4A630C328A14F1CB722F4597B85046D"/>
          </w:placeholder>
        </w:sdtPr>
        <w:sdtEndPr/>
        <w:sdtContent>
          <w:r w:rsidRPr="00550B85">
            <w:rPr>
              <w:rFonts w:eastAsia="Times New Roman"/>
              <w:color w:val="000000"/>
            </w:rPr>
            <w:t>(Jacobson, 2010)</w:t>
          </w:r>
          <w:r w:rsidR="0055016C">
            <w:rPr>
              <w:rFonts w:eastAsia="Times New Roman"/>
              <w:color w:val="000000"/>
              <w:lang w:val="en-US"/>
            </w:rPr>
            <w:t xml:space="preserve"> </w:t>
          </w:r>
        </w:sdtContent>
      </w:sdt>
      <w:r w:rsidRPr="00550B85">
        <w:rPr>
          <w:rFonts w:eastAsia="Times New Roman"/>
        </w:rPr>
        <w:t xml:space="preserve">menemukan bahwa upaya dalam mengatur waktu dan menciptakan lingkungan belajar yang kondusif akan mempermudah siswa untuk menyesuaikan diri dengan tuntutan akademik, yang pada akhirnya akan berdampak pada prestasi akademik di sekolah. </w:t>
      </w:r>
      <w:r w:rsidR="0055016C">
        <w:rPr>
          <w:rFonts w:eastAsia="Times New Roman"/>
          <w:lang w:val="en-US"/>
        </w:rPr>
        <w:t xml:space="preserve">Selian itu </w:t>
      </w:r>
      <w:r w:rsidR="0055016C">
        <w:rPr>
          <w:rFonts w:eastAsia="Times New Roman"/>
        </w:rPr>
        <w:t>p</w:t>
      </w:r>
      <w:r w:rsidRPr="00550B85">
        <w:rPr>
          <w:rFonts w:eastAsia="Times New Roman"/>
        </w:rPr>
        <w:t xml:space="preserve">enelitian sebelumnya yang dilakukan oleh </w:t>
      </w:r>
      <w:sdt>
        <w:sdtPr>
          <w:rPr>
            <w:rFonts w:eastAsia="Times New Roman"/>
            <w:color w:val="000000"/>
          </w:rPr>
          <w:tag w:val="MENDELEY_CITATION_v3_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"/>
          <w:id w:val="-971825849"/>
          <w:placeholder>
            <w:docPart w:val="C4A630C328A14F1CB722F4597B85046D"/>
          </w:placeholder>
        </w:sdtPr>
        <w:sdtEndPr/>
        <w:sdtContent>
          <w:r w:rsidRPr="00550B85">
            <w:rPr>
              <w:rFonts w:eastAsia="Times New Roman"/>
              <w:color w:val="000000"/>
            </w:rPr>
            <w:t>(Jacobson, 2010)</w:t>
          </w:r>
        </w:sdtContent>
      </w:sdt>
      <w:r>
        <w:rPr>
          <w:rFonts w:eastAsia="Times New Roman"/>
          <w:color w:val="000000"/>
        </w:rPr>
        <w:t xml:space="preserve"> </w:t>
      </w:r>
      <w:r w:rsidRPr="00550B85">
        <w:rPr>
          <w:rFonts w:eastAsia="Times New Roman"/>
        </w:rPr>
        <w:t xml:space="preserve">juga menunjukkan hal serupa, yaitu bahwa siswa yang berusaha memahami pelajaran dengan cara menghafal, mengatur, dan mentransformasikan materi di kelas dengan melakukan pengulangan, elaborasi, dan organisasi akan menunjukkan performa akademik yang baik. </w:t>
      </w:r>
    </w:p>
    <w:p w:rsidR="00BF6421" w:rsidRPr="00550B85" w:rsidRDefault="00BF6421" w:rsidP="00BF6421">
      <w:pPr>
        <w:ind w:firstLine="720"/>
        <w:jc w:val="both"/>
        <w:rPr>
          <w:rFonts w:eastAsia="Times New Roman"/>
        </w:rPr>
      </w:pPr>
      <w:r w:rsidRPr="00550B85">
        <w:rPr>
          <w:rFonts w:eastAsia="Times New Roman"/>
        </w:rPr>
        <w:t xml:space="preserve">Berdasarkan hasil uji Anova diperoleh bahwa terdapat hubungan yang signifikan artinya ada hubungan signifikan antara academic bouyancy dan self-regulated learning dengan school adjustment pada santri Pondok Pesantren An-Nur Tanggulangin. Hubungan ini menunjukkan bahwa semakin tinggi tingkat </w:t>
      </w:r>
      <w:r w:rsidRPr="00550B85">
        <w:rPr>
          <w:rFonts w:eastAsia="Times New Roman"/>
          <w:i/>
          <w:iCs/>
        </w:rPr>
        <w:t>academic buoyancy</w:t>
      </w:r>
      <w:r w:rsidRPr="00550B85">
        <w:rPr>
          <w:rFonts w:eastAsia="Times New Roman"/>
        </w:rPr>
        <w:t xml:space="preserve"> dan </w:t>
      </w:r>
      <w:r w:rsidRPr="00550B85">
        <w:rPr>
          <w:rFonts w:eastAsia="Times New Roman"/>
          <w:i/>
          <w:iCs/>
        </w:rPr>
        <w:t>self-regulated learning</w:t>
      </w:r>
      <w:r w:rsidRPr="00550B85">
        <w:rPr>
          <w:rFonts w:eastAsia="Times New Roman"/>
        </w:rPr>
        <w:t xml:space="preserve"> yang dimiliki siswa, semakin baik pula penyesuaian mereka di lingkungan sekolah.</w:t>
      </w:r>
      <w:r>
        <w:rPr>
          <w:rFonts w:eastAsia="Times New Roman"/>
          <w:lang w:val="en-US"/>
        </w:rPr>
        <w:t xml:space="preserve"> </w:t>
      </w:r>
      <w:r w:rsidRPr="00550B85">
        <w:rPr>
          <w:rFonts w:eastAsia="Times New Roman"/>
          <w:i/>
          <w:iCs/>
        </w:rPr>
        <w:t xml:space="preserve">Academic buoyancy </w:t>
      </w:r>
      <w:r w:rsidRPr="00550B85">
        <w:rPr>
          <w:rFonts w:eastAsia="Times New Roman"/>
        </w:rPr>
        <w:t xml:space="preserve">berkaitan dengan bagaimana santri menghadapi tuntutan akademik yang berat dan cenderung mengalami hambatan. Ketika siswa memiliki tingkat </w:t>
      </w:r>
      <w:r w:rsidRPr="00550B85">
        <w:rPr>
          <w:rFonts w:eastAsia="Times New Roman"/>
          <w:i/>
          <w:iCs/>
        </w:rPr>
        <w:t>academic buoyancy</w:t>
      </w:r>
      <w:r w:rsidRPr="00550B85">
        <w:rPr>
          <w:rFonts w:eastAsia="Times New Roman"/>
        </w:rPr>
        <w:t xml:space="preserve"> yang tinggi, mereka memiliki kemampuan untuk menghadapi tantangan dan kesulitan akademik dengan optimisme, harapan, dan ketahanan (</w:t>
      </w:r>
      <w:r w:rsidRPr="00A81842">
        <w:rPr>
          <w:rFonts w:eastAsia="Times New Roman"/>
          <w:i/>
        </w:rPr>
        <w:t>resilience</w:t>
      </w:r>
      <w:r w:rsidRPr="00550B85">
        <w:rPr>
          <w:rFonts w:eastAsia="Times New Roman"/>
        </w:rPr>
        <w:t>) yang tinggi. Akibatnya, mereka mampu mengatasi stres dan tekanan akademik dengan lebih baik, yang dapat membantu mereka menyesuaikan diri dengan lingkungan sekolah dengan lebih lancar.</w:t>
      </w:r>
      <w:r>
        <w:rPr>
          <w:rFonts w:eastAsia="Times New Roman"/>
          <w:lang w:val="en-US"/>
        </w:rPr>
        <w:t xml:space="preserve"> </w:t>
      </w:r>
      <w:r w:rsidRPr="00550B85">
        <w:rPr>
          <w:rFonts w:eastAsia="Times New Roman"/>
        </w:rPr>
        <w:t>S</w:t>
      </w:r>
      <w:r w:rsidRPr="00550B85">
        <w:rPr>
          <w:rFonts w:eastAsia="Times New Roman"/>
          <w:i/>
          <w:iCs/>
        </w:rPr>
        <w:t>elf-regulated learning</w:t>
      </w:r>
      <w:r w:rsidRPr="00550B85">
        <w:rPr>
          <w:rFonts w:eastAsia="Times New Roman"/>
        </w:rPr>
        <w:t xml:space="preserve"> mengacu pada kemampuan siswa untuk mengatur dan mengontrol proses belajar mereka sendiri. Santri yang memiliki tingkat </w:t>
      </w:r>
      <w:r w:rsidRPr="00550B85">
        <w:rPr>
          <w:rFonts w:eastAsia="Times New Roman"/>
          <w:i/>
          <w:iCs/>
        </w:rPr>
        <w:t>self-regulated learning</w:t>
      </w:r>
      <w:r w:rsidRPr="00550B85">
        <w:rPr>
          <w:rFonts w:eastAsia="Times New Roman"/>
        </w:rPr>
        <w:t xml:space="preserve"> tinggi cenderung aktif dalam mengatur waktu belajar, mengatur lingkungan belajar yang kondusif, dan menggunakan berbagai strategi belajar yang efektif. Kemampuan ini membantu santri mengelola waktu dan belajar secara efisien, sehingga mereka dapat mencapai hasil belajar yang lebih baik. Tingkat </w:t>
      </w:r>
      <w:r w:rsidRPr="00550B85">
        <w:rPr>
          <w:rFonts w:eastAsia="Times New Roman"/>
          <w:i/>
          <w:iCs/>
        </w:rPr>
        <w:t>self-regulated learning</w:t>
      </w:r>
      <w:r w:rsidRPr="00550B85">
        <w:rPr>
          <w:rFonts w:eastAsia="Times New Roman"/>
        </w:rPr>
        <w:t xml:space="preserve"> yang tinggi juga berkontribusi pada penyesuaian sekolah yang baik karena santri merasa lebih percaya diri dalam menghadapi tugas-tugas akademik dan mampu menghadapinya dengan lebih baik.</w:t>
      </w:r>
    </w:p>
    <w:p w:rsidR="00BF6421" w:rsidRDefault="00BF6421" w:rsidP="002204CF">
      <w:pPr>
        <w:ind w:firstLine="720"/>
        <w:jc w:val="both"/>
        <w:rPr>
          <w:rFonts w:eastAsia="Times New Roman"/>
        </w:rPr>
      </w:pPr>
      <w:r w:rsidRPr="00550B85">
        <w:rPr>
          <w:rFonts w:eastAsia="Times New Roman"/>
        </w:rPr>
        <w:t xml:space="preserve">Dalam penelitian ini, ditemukan bahwa santri yang memiliki tingkat </w:t>
      </w:r>
      <w:r w:rsidRPr="00550B85">
        <w:rPr>
          <w:rFonts w:eastAsia="Times New Roman"/>
          <w:i/>
          <w:iCs/>
        </w:rPr>
        <w:t>academic buoyancy</w:t>
      </w:r>
      <w:r w:rsidRPr="00550B85">
        <w:rPr>
          <w:rFonts w:eastAsia="Times New Roman"/>
        </w:rPr>
        <w:t xml:space="preserve"> dan </w:t>
      </w:r>
      <w:r w:rsidRPr="00550B85">
        <w:rPr>
          <w:rFonts w:eastAsia="Times New Roman"/>
          <w:i/>
          <w:iCs/>
        </w:rPr>
        <w:t>self-regulated learning</w:t>
      </w:r>
      <w:r w:rsidRPr="00550B85">
        <w:rPr>
          <w:rFonts w:eastAsia="Times New Roman"/>
        </w:rPr>
        <w:t xml:space="preserve"> yang tinggi cenderung memiliki tingkat </w:t>
      </w:r>
      <w:r w:rsidRPr="00550B85">
        <w:rPr>
          <w:rFonts w:eastAsia="Times New Roman"/>
          <w:i/>
          <w:iCs/>
        </w:rPr>
        <w:t>school adjustment</w:t>
      </w:r>
      <w:r w:rsidRPr="00550B85">
        <w:rPr>
          <w:rFonts w:eastAsia="Times New Roman"/>
        </w:rPr>
        <w:t xml:space="preserve"> yang lebih baik. Artinya, mereka mampu beradaptasi dengan baik dalam lingkungan Pondok Pesantren, menangani tantangan akademik dengan optimisme dan ketahanan, serta mampu mengatur dan mengontrol proses belajar mereka sendiri dengan efisien. Hal ini menyebabkan mereka mencapai prestasi akademik yang lebih baik dan merasa lebih nyaman dan sukses dalam lingkungan Pondok Pesantren.</w:t>
      </w:r>
      <w:r w:rsidR="002204CF">
        <w:rPr>
          <w:rFonts w:eastAsia="Times New Roman"/>
          <w:lang w:val="en-US"/>
        </w:rPr>
        <w:t xml:space="preserve"> </w:t>
      </w:r>
      <w:r w:rsidRPr="00550B85">
        <w:rPr>
          <w:rFonts w:eastAsia="Times New Roman"/>
        </w:rPr>
        <w:t xml:space="preserve">Hasil tersebut sesuai dengan penelitian oleh </w:t>
      </w:r>
      <w:sdt>
        <w:sdtPr>
          <w:rPr>
            <w:rFonts w:eastAsia="Times New Roman"/>
            <w:color w:val="000000"/>
          </w:rPr>
          <w:tag w:val="MENDELEY_CITATION_v3_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"/>
          <w:id w:val="364797137"/>
          <w:placeholder>
            <w:docPart w:val="C4A630C328A14F1CB722F4597B85046D"/>
          </w:placeholder>
        </w:sdtPr>
        <w:sdtEndPr/>
        <w:sdtContent>
          <w:r w:rsidRPr="00550B85">
            <w:rPr>
              <w:rFonts w:eastAsia="Times New Roman"/>
              <w:color w:val="000000"/>
            </w:rPr>
            <w:t>(Rooij, 2017)</w:t>
          </w:r>
        </w:sdtContent>
      </w:sdt>
      <w:r w:rsidRPr="00550B85">
        <w:rPr>
          <w:rFonts w:eastAsia="Times New Roman"/>
          <w:color w:val="000000"/>
        </w:rPr>
        <w:t xml:space="preserve"> </w:t>
      </w:r>
      <w:r w:rsidRPr="00550B85">
        <w:rPr>
          <w:rFonts w:eastAsia="Times New Roman"/>
        </w:rPr>
        <w:t>dalam penelitiannya terhadap mahasiswa tahun pertama di perguruan tinggi. Penelitian tersebut menunjukkan bahwa siswa yang memiliki kemampuan dalam mengatur pikiran, perasaan, dan perilakunya dalam belajar (</w:t>
      </w:r>
      <w:r w:rsidRPr="00A81842">
        <w:rPr>
          <w:rFonts w:eastAsia="Times New Roman"/>
          <w:i/>
        </w:rPr>
        <w:t>self-regulated learning</w:t>
      </w:r>
      <w:r w:rsidRPr="00550B85">
        <w:rPr>
          <w:rFonts w:eastAsia="Times New Roman"/>
        </w:rPr>
        <w:t xml:space="preserve">) cenderung memiliki penyesuaian akademik yang baik di sekolah, dan akibatnya mereka mencapai prestasi akademik yang baik. </w:t>
      </w:r>
    </w:p>
    <w:p w:rsidR="00BF6421" w:rsidRPr="00550B85" w:rsidRDefault="00BF6421" w:rsidP="00BF6421">
      <w:pPr>
        <w:shd w:val="clear" w:color="auto" w:fill="FFFFFF"/>
        <w:ind w:firstLine="720"/>
        <w:jc w:val="both"/>
        <w:rPr>
          <w:rFonts w:eastAsia="Times New Roman"/>
        </w:rPr>
      </w:pPr>
      <w:r w:rsidRPr="00550B85">
        <w:rPr>
          <w:rFonts w:eastAsia="Times New Roman"/>
        </w:rPr>
        <w:t xml:space="preserve">Diperoleh hasil bahwa pengaruh yang diberikan oleh </w:t>
      </w:r>
      <w:r w:rsidRPr="00550B85">
        <w:rPr>
          <w:rFonts w:eastAsia="Times New Roman"/>
          <w:i/>
          <w:iCs/>
        </w:rPr>
        <w:t>academic bouyancy</w:t>
      </w:r>
      <w:r w:rsidRPr="00550B85">
        <w:rPr>
          <w:rFonts w:eastAsia="Times New Roman"/>
        </w:rPr>
        <w:t xml:space="preserve"> dan </w:t>
      </w:r>
      <w:r w:rsidRPr="00550B85">
        <w:rPr>
          <w:rFonts w:eastAsia="Times New Roman"/>
          <w:i/>
          <w:iCs/>
        </w:rPr>
        <w:t>self-regulated learning</w:t>
      </w:r>
      <w:r w:rsidRPr="00550B85">
        <w:rPr>
          <w:rFonts w:eastAsia="Times New Roman"/>
        </w:rPr>
        <w:t xml:space="preserve"> terhadap </w:t>
      </w:r>
      <w:r w:rsidRPr="00550B85">
        <w:rPr>
          <w:rFonts w:eastAsia="Times New Roman"/>
          <w:i/>
          <w:iCs/>
        </w:rPr>
        <w:t>school adjustment</w:t>
      </w:r>
      <w:r w:rsidRPr="00550B85">
        <w:rPr>
          <w:rFonts w:eastAsia="Times New Roman"/>
        </w:rPr>
        <w:t xml:space="preserve"> hanya sebesar 39% sedangkan 61% faktor </w:t>
      </w:r>
      <w:r w:rsidRPr="00550B85">
        <w:rPr>
          <w:rFonts w:eastAsia="Times New Roman"/>
        </w:rPr>
        <w:lastRenderedPageBreak/>
        <w:t xml:space="preserve">lainnya tidak ditemukan dalam penelitian ini. Faktor lain yang dapat berpengaruh terhadap </w:t>
      </w:r>
      <w:r w:rsidRPr="00550B85">
        <w:rPr>
          <w:rFonts w:eastAsia="Times New Roman"/>
          <w:i/>
          <w:iCs/>
        </w:rPr>
        <w:t>school adjustment</w:t>
      </w:r>
      <w:r w:rsidRPr="00550B85">
        <w:rPr>
          <w:rFonts w:eastAsia="Times New Roman"/>
        </w:rPr>
        <w:t xml:space="preserve"> karna kondisi keluarga, ekonomi dan pola asuh keluarga di waktu sebelum santri memasuki pondok pesantren. Santri yang tidak memiliki kehangatan dalam keluarga akan sangat berpengaruh terhadap kemampuan dalam beradaptasi, santri akan cenderung sulit bergaul. Kondisi ekonomi juga sangat berpengaruh, jika dirasa terdapat kesenjangan sosial maka seorang anak akan dengan sendirinya memilih kelompok dan tidak mudah beradaptasi. Faktor asuh orangtua juga merupakan salah satu aspek yang berpengaruh, pola asuh yang tidak mengantarkan anak menjadi percaya diri, mandiri dan mampu bersosialisasi dengan baik akan cenderung menyebabkan anak memiliki kemampuan adaptasi yang rendah.</w:t>
      </w:r>
    </w:p>
    <w:p w:rsidR="0037095C" w:rsidRDefault="0037095C" w:rsidP="0037095C">
      <w:pPr>
        <w:jc w:val="both"/>
        <w:rPr>
          <w:b/>
        </w:rPr>
      </w:pPr>
    </w:p>
    <w:p w:rsidR="002204CF" w:rsidRPr="002204CF" w:rsidRDefault="0037095C" w:rsidP="002204CF">
      <w:pPr>
        <w:jc w:val="both"/>
        <w:rPr>
          <w:b/>
        </w:rPr>
      </w:pPr>
      <w:r w:rsidRPr="004D7911">
        <w:rPr>
          <w:b/>
        </w:rPr>
        <w:t>PENUTUP</w:t>
      </w:r>
    </w:p>
    <w:p w:rsidR="0037095C" w:rsidRPr="00EF099C" w:rsidRDefault="00EF099C" w:rsidP="00EF099C">
      <w:pPr>
        <w:ind w:firstLine="567"/>
        <w:jc w:val="both"/>
        <w:rPr>
          <w:lang w:val="en-US"/>
        </w:rPr>
      </w:pPr>
      <w:r w:rsidRPr="00550B85">
        <w:rPr>
          <w:rFonts w:eastAsia="Times New Roman"/>
          <w:bCs/>
        </w:rPr>
        <w:t xml:space="preserve">Berdasarkan seluruh uraian pembahasan dalam penelitian ini maka dapat disimpulkan bahwa terdapat kaitan positif anatara </w:t>
      </w:r>
      <w:r w:rsidRPr="00550B85">
        <w:rPr>
          <w:rFonts w:eastAsia="Times New Roman"/>
          <w:bCs/>
          <w:i/>
          <w:iCs/>
        </w:rPr>
        <w:t>academic bouyancy</w:t>
      </w:r>
      <w:r w:rsidRPr="00550B85">
        <w:rPr>
          <w:rFonts w:eastAsia="Times New Roman"/>
        </w:rPr>
        <w:t xml:space="preserve"> dengan </w:t>
      </w:r>
      <w:r w:rsidRPr="00550B85">
        <w:rPr>
          <w:rFonts w:eastAsia="Times New Roman"/>
          <w:i/>
          <w:iCs/>
        </w:rPr>
        <w:t xml:space="preserve">school adjustment. </w:t>
      </w:r>
      <w:r w:rsidRPr="00550B85">
        <w:rPr>
          <w:rFonts w:eastAsia="Times New Roman"/>
        </w:rPr>
        <w:t xml:space="preserve">Selanjutnya yaitu adanya hubungan tidak signifikan </w:t>
      </w:r>
      <w:r w:rsidRPr="00550B85">
        <w:rPr>
          <w:rFonts w:eastAsia="Times New Roman"/>
          <w:i/>
          <w:iCs/>
        </w:rPr>
        <w:t>self-regulated learning</w:t>
      </w:r>
      <w:r w:rsidRPr="00550B85">
        <w:rPr>
          <w:rFonts w:eastAsia="Times New Roman"/>
        </w:rPr>
        <w:t xml:space="preserve"> dengan </w:t>
      </w:r>
      <w:r w:rsidRPr="00550B85">
        <w:rPr>
          <w:rFonts w:eastAsia="Times New Roman"/>
          <w:i/>
          <w:iCs/>
        </w:rPr>
        <w:t>school adjustment</w:t>
      </w:r>
      <w:r w:rsidRPr="00550B85">
        <w:rPr>
          <w:rFonts w:eastAsia="Times New Roman"/>
        </w:rPr>
        <w:t xml:space="preserve">. Adanya hubungan yang signifikan </w:t>
      </w:r>
      <w:r w:rsidRPr="00550B85">
        <w:rPr>
          <w:rFonts w:eastAsia="Times New Roman"/>
          <w:i/>
          <w:iCs/>
        </w:rPr>
        <w:t>academic bouyancy</w:t>
      </w:r>
      <w:r w:rsidRPr="00550B85">
        <w:rPr>
          <w:rFonts w:eastAsia="Times New Roman"/>
        </w:rPr>
        <w:t xml:space="preserve"> dan </w:t>
      </w:r>
      <w:r w:rsidRPr="00550B85">
        <w:rPr>
          <w:rFonts w:eastAsia="Times New Roman"/>
          <w:i/>
          <w:iCs/>
        </w:rPr>
        <w:t>self-regulated learning</w:t>
      </w:r>
      <w:r w:rsidRPr="00550B85">
        <w:rPr>
          <w:rFonts w:eastAsia="Times New Roman"/>
        </w:rPr>
        <w:t xml:space="preserve"> dengan </w:t>
      </w:r>
      <w:r w:rsidRPr="00550B85">
        <w:rPr>
          <w:rFonts w:eastAsia="Times New Roman"/>
          <w:i/>
          <w:iCs/>
        </w:rPr>
        <w:t>school adjustment</w:t>
      </w:r>
      <w:r w:rsidRPr="00550B85">
        <w:rPr>
          <w:rFonts w:eastAsia="Times New Roman"/>
        </w:rPr>
        <w:t xml:space="preserve"> pada santri Pondok Pesantren An-Nur Tanggulangin. Diperoleh hasil bahwa pengaruh yang diberikan oleh </w:t>
      </w:r>
      <w:r w:rsidRPr="00550B85">
        <w:rPr>
          <w:rFonts w:eastAsia="Times New Roman"/>
          <w:i/>
          <w:iCs/>
        </w:rPr>
        <w:t>academic bouyancy</w:t>
      </w:r>
      <w:r w:rsidRPr="00550B85">
        <w:rPr>
          <w:rFonts w:eastAsia="Times New Roman"/>
        </w:rPr>
        <w:t xml:space="preserve"> dan </w:t>
      </w:r>
      <w:r w:rsidRPr="00550B85">
        <w:rPr>
          <w:rFonts w:eastAsia="Times New Roman"/>
          <w:i/>
          <w:iCs/>
        </w:rPr>
        <w:t>self-regulated learning</w:t>
      </w:r>
      <w:r w:rsidRPr="00550B85">
        <w:rPr>
          <w:rFonts w:eastAsia="Times New Roman"/>
        </w:rPr>
        <w:t xml:space="preserve"> terhadap </w:t>
      </w:r>
      <w:r w:rsidRPr="00550B85">
        <w:rPr>
          <w:rFonts w:eastAsia="Times New Roman"/>
          <w:i/>
          <w:iCs/>
        </w:rPr>
        <w:t>school adjustment</w:t>
      </w:r>
      <w:r w:rsidRPr="00550B85">
        <w:rPr>
          <w:rFonts w:eastAsia="Times New Roman"/>
        </w:rPr>
        <w:t xml:space="preserve"> hanya sebesar 39% sedangkan 61% faktor lainnya tidak ditemukan dalam penelitian ini. Faktor lain yang dapat berpengaruh terhadap </w:t>
      </w:r>
      <w:r w:rsidRPr="00550B85">
        <w:rPr>
          <w:rFonts w:eastAsia="Times New Roman"/>
          <w:i/>
          <w:iCs/>
        </w:rPr>
        <w:t>school adjustment</w:t>
      </w:r>
      <w:r w:rsidRPr="00550B85">
        <w:rPr>
          <w:rFonts w:eastAsia="Times New Roman"/>
        </w:rPr>
        <w:t xml:space="preserve"> karna kondisi keluarga, ekonomi dan pola asuh keluarga di waktu sebelum santri memasuki pondok pesantren.</w:t>
      </w:r>
      <w:r>
        <w:rPr>
          <w:rFonts w:eastAsia="Times New Roman"/>
          <w:lang w:val="en-US"/>
        </w:rPr>
        <w:t xml:space="preserve"> </w:t>
      </w:r>
      <w:r w:rsidRPr="00A3135C">
        <w:rPr>
          <w:rFonts w:cstheme="minorHAnsi"/>
        </w:rPr>
        <w:t xml:space="preserve">Hasil penelitian ini diharapkan bisa memberi kontribusi bagi pengembangan ilmu psikologi, khususnya </w:t>
      </w:r>
      <w:r>
        <w:rPr>
          <w:rFonts w:cstheme="minorHAnsi"/>
          <w:lang w:val="en-US"/>
        </w:rPr>
        <w:t xml:space="preserve">dibidang </w:t>
      </w:r>
      <w:r w:rsidRPr="00A3135C">
        <w:rPr>
          <w:rFonts w:cstheme="minorHAnsi"/>
        </w:rPr>
        <w:t>psikologi pendidikan. Untuk peneliti selanjutnya di harapkan dapat menggunakan ide penelitian ini sebagai bentuk penelitian yang kebaruan dengan menggunakan variable yang berbeda atau dengan menggunakan subjek penelitian yang berbeda dari penelitian yang digunakan peneliti saat ini.</w:t>
      </w:r>
    </w:p>
    <w:p w:rsidR="0037095C" w:rsidRPr="004D7911" w:rsidRDefault="0037095C" w:rsidP="0037095C">
      <w:pPr>
        <w:jc w:val="both"/>
      </w:pPr>
    </w:p>
    <w:p w:rsidR="0037095C" w:rsidRPr="004D7911" w:rsidRDefault="0037095C" w:rsidP="0037095C">
      <w:pPr>
        <w:jc w:val="both"/>
        <w:rPr>
          <w:b/>
        </w:rPr>
      </w:pPr>
      <w:r w:rsidRPr="004D7911">
        <w:rPr>
          <w:b/>
        </w:rPr>
        <w:t>REFERENSI</w:t>
      </w:r>
    </w:p>
    <w:p w:rsidR="00EF099C" w:rsidRDefault="00EF099C" w:rsidP="00EF099C">
      <w:pPr>
        <w:suppressAutoHyphens/>
        <w:ind w:leftChars="-1" w:hangingChars="1" w:hanging="2"/>
        <w:jc w:val="both"/>
        <w:textDirection w:val="btLr"/>
        <w:textAlignment w:val="top"/>
        <w:outlineLvl w:val="0"/>
        <w:rPr>
          <w:rFonts w:eastAsia="Times New Roman"/>
        </w:rPr>
      </w:pPr>
    </w:p>
    <w:p w:rsidR="00A81842" w:rsidRDefault="0055016C" w:rsidP="00A81842">
      <w:pPr>
        <w:widowControl w:val="0"/>
        <w:autoSpaceDE w:val="0"/>
        <w:autoSpaceDN w:val="0"/>
        <w:adjustRightInd w:val="0"/>
        <w:ind w:left="480" w:hanging="480"/>
      </w:pPr>
      <w:r w:rsidRPr="00550B85">
        <w:rPr>
          <w:rFonts w:eastAsia="Times New Roman"/>
        </w:rPr>
        <w:t xml:space="preserve">Azarian, R. , M. H. , &amp; J. M. (2020). Comparison the effectiveness of academic buoyancy and emotion regulation training on academic meaning and academic adjustment. . </w:t>
      </w:r>
      <w:r w:rsidRPr="00550B85">
        <w:rPr>
          <w:rFonts w:eastAsia="Times New Roman"/>
          <w:i/>
          <w:iCs/>
        </w:rPr>
        <w:t>Jiera</w:t>
      </w:r>
      <w:r w:rsidRPr="00550B85">
        <w:rPr>
          <w:rFonts w:eastAsia="Times New Roman"/>
        </w:rPr>
        <w:t xml:space="preserve">, </w:t>
      </w:r>
      <w:r w:rsidRPr="00550B85">
        <w:rPr>
          <w:rFonts w:eastAsia="Times New Roman"/>
          <w:i/>
          <w:iCs/>
        </w:rPr>
        <w:t>14</w:t>
      </w:r>
      <w:r w:rsidRPr="00550B85">
        <w:rPr>
          <w:rFonts w:eastAsia="Times New Roman"/>
        </w:rPr>
        <w:t>, 483–494.</w:t>
      </w:r>
    </w:p>
    <w:p w:rsidR="00F8707E" w:rsidRPr="00F8707E" w:rsidRDefault="00EF099C" w:rsidP="00F8707E">
      <w:pPr>
        <w:widowControl w:val="0"/>
        <w:autoSpaceDE w:val="0"/>
        <w:autoSpaceDN w:val="0"/>
        <w:adjustRightInd w:val="0"/>
        <w:ind w:left="480" w:hanging="480"/>
      </w:pPr>
      <w:r>
        <w:fldChar w:fldCharType="begin" w:fldLock="1"/>
      </w:r>
      <w:r>
        <w:instrText xml:space="preserve">ADDIN Mendeley Bibliography CSL_BIBLIOGRAPHY </w:instrText>
      </w:r>
      <w:r>
        <w:fldChar w:fldCharType="separate"/>
      </w:r>
      <w:r w:rsidR="00F8707E" w:rsidRPr="00F8707E">
        <w:t xml:space="preserve">Bostwick, K. C. P., Martin, A. J., Collie, R. J., Burns, E. C., Hare, N., Cox, S., Flesken, A., &amp; McCarthy, I. (2022). Academic Buoyancy in High School: A Cross-Lagged Multilevel Modeling Approach Exploring Reciprocal Effects With Perceived School Support, Motivation, and Engagement. </w:t>
      </w:r>
      <w:r w:rsidR="00F8707E" w:rsidRPr="00F8707E">
        <w:rPr>
          <w:i/>
          <w:iCs/>
        </w:rPr>
        <w:t>Journal of Educational Psychology</w:t>
      </w:r>
      <w:r w:rsidR="00F8707E" w:rsidRPr="00F8707E">
        <w:t xml:space="preserve">, </w:t>
      </w:r>
      <w:r w:rsidR="00F8707E" w:rsidRPr="00F8707E">
        <w:rPr>
          <w:i/>
          <w:iCs/>
        </w:rPr>
        <w:t>114</w:t>
      </w:r>
      <w:r w:rsidR="00F8707E" w:rsidRPr="00F8707E">
        <w:t>(8), 1931–1949. https://doi.org/10.1037/edu0000753</w:t>
      </w:r>
    </w:p>
    <w:p w:rsidR="00F8707E" w:rsidRPr="00F8707E" w:rsidRDefault="00F8707E" w:rsidP="00F8707E">
      <w:pPr>
        <w:widowControl w:val="0"/>
        <w:autoSpaceDE w:val="0"/>
        <w:autoSpaceDN w:val="0"/>
        <w:adjustRightInd w:val="0"/>
        <w:ind w:left="480" w:hanging="480"/>
      </w:pPr>
      <w:r w:rsidRPr="00F8707E">
        <w:t xml:space="preserve">Chasanah, D. U., Rejeki, A., &amp; Amelasasih, P. (2019). Peranan Self Regulated Learningdalam Mempengaruhi Resiliensi Akademik Pada Mahasiswa Program Studi Teknik Informatika Dan Teknik Elektro Universitas Muhammadiyah Gresik Yang Bekerja. </w:t>
      </w:r>
      <w:r w:rsidRPr="00F8707E">
        <w:rPr>
          <w:i/>
          <w:iCs/>
        </w:rPr>
        <w:t>Psikosains</w:t>
      </w:r>
      <w:r w:rsidRPr="00F8707E">
        <w:t xml:space="preserve">, </w:t>
      </w:r>
      <w:r w:rsidRPr="00F8707E">
        <w:rPr>
          <w:i/>
          <w:iCs/>
        </w:rPr>
        <w:t>14</w:t>
      </w:r>
      <w:r w:rsidRPr="00F8707E">
        <w:t>(2), 102–114.</w:t>
      </w:r>
    </w:p>
    <w:p w:rsidR="00F8707E" w:rsidRPr="00F8707E" w:rsidRDefault="00F8707E" w:rsidP="00F8707E">
      <w:pPr>
        <w:widowControl w:val="0"/>
        <w:autoSpaceDE w:val="0"/>
        <w:autoSpaceDN w:val="0"/>
        <w:adjustRightInd w:val="0"/>
        <w:ind w:left="480" w:hanging="480"/>
      </w:pPr>
      <w:r w:rsidRPr="00F8707E">
        <w:t xml:space="preserve">Cho, E., Lee, D., Lee, J. H., Bae, B. H., &amp; Jeong, S. M. (2014). Meaning in Life and School Adjustment: Testing the Mediating Effects of Problem-focused Coping and Self-acceptance. </w:t>
      </w:r>
      <w:r w:rsidRPr="00F8707E">
        <w:rPr>
          <w:i/>
          <w:iCs/>
        </w:rPr>
        <w:t>Procedia - Social and Behavioral Sciences</w:t>
      </w:r>
      <w:r w:rsidRPr="00F8707E">
        <w:t xml:space="preserve">, </w:t>
      </w:r>
      <w:r w:rsidRPr="00F8707E">
        <w:rPr>
          <w:i/>
          <w:iCs/>
        </w:rPr>
        <w:t>114</w:t>
      </w:r>
      <w:r w:rsidRPr="00F8707E">
        <w:t>, 777–781. https://doi.org/10.1016/j.sbspro.2013.12.784</w:t>
      </w:r>
    </w:p>
    <w:p w:rsidR="00F8707E" w:rsidRPr="00F8707E" w:rsidRDefault="00F8707E" w:rsidP="00F8707E">
      <w:pPr>
        <w:widowControl w:val="0"/>
        <w:autoSpaceDE w:val="0"/>
        <w:autoSpaceDN w:val="0"/>
        <w:adjustRightInd w:val="0"/>
        <w:ind w:left="480" w:hanging="480"/>
      </w:pPr>
      <w:r w:rsidRPr="00F8707E">
        <w:t xml:space="preserve">Efendi, D. H., Sandayanti, V., &amp; Hutasuhut, A. F. (2020). Hubungan Efikasi Diri Dengan Regulasi Diri Dalam Belajar Pada Mahasiswa Fakultas Kedokteran Universitas </w:t>
      </w:r>
      <w:r w:rsidRPr="00F8707E">
        <w:lastRenderedPageBreak/>
        <w:t xml:space="preserve">Malahayati. </w:t>
      </w:r>
      <w:r w:rsidRPr="00F8707E">
        <w:rPr>
          <w:i/>
          <w:iCs/>
        </w:rPr>
        <w:t>ANFUSINA: Journal of Psychology</w:t>
      </w:r>
      <w:r w:rsidRPr="00F8707E">
        <w:t xml:space="preserve">, </w:t>
      </w:r>
      <w:r w:rsidRPr="00F8707E">
        <w:rPr>
          <w:i/>
          <w:iCs/>
        </w:rPr>
        <w:t>3</w:t>
      </w:r>
      <w:r w:rsidRPr="00F8707E">
        <w:t>(1), 21–32. https://doi.org/10.24042/ajp.v3i1.6046</w:t>
      </w:r>
    </w:p>
    <w:p w:rsidR="00F8707E" w:rsidRPr="00F8707E" w:rsidRDefault="00F8707E" w:rsidP="00F8707E">
      <w:pPr>
        <w:widowControl w:val="0"/>
        <w:autoSpaceDE w:val="0"/>
        <w:autoSpaceDN w:val="0"/>
        <w:adjustRightInd w:val="0"/>
        <w:ind w:left="480" w:hanging="480"/>
      </w:pPr>
      <w:r w:rsidRPr="00F8707E">
        <w:t xml:space="preserve">Endang, W. N., Hendriana, H., &amp; Ningrum, D. S. A. (2021). Gambaran Penyesuaian Diri Siswa Kelas X Ipa 3 Sma Negeri 25 Garut. </w:t>
      </w:r>
      <w:r w:rsidRPr="00F8707E">
        <w:rPr>
          <w:i/>
          <w:iCs/>
        </w:rPr>
        <w:t>FOKUS (Kajian Bimbingan &amp; Konseling Dalam Pendidikan)</w:t>
      </w:r>
      <w:r w:rsidRPr="00F8707E">
        <w:t xml:space="preserve">, </w:t>
      </w:r>
      <w:r w:rsidRPr="00F8707E">
        <w:rPr>
          <w:i/>
          <w:iCs/>
        </w:rPr>
        <w:t>4</w:t>
      </w:r>
      <w:r w:rsidRPr="00F8707E">
        <w:t>(1), 32. https://doi.org/10.22460/fokus.v4i1.5822</w:t>
      </w:r>
    </w:p>
    <w:p w:rsidR="00F8707E" w:rsidRPr="00F8707E" w:rsidRDefault="00F8707E" w:rsidP="00F8707E">
      <w:pPr>
        <w:widowControl w:val="0"/>
        <w:autoSpaceDE w:val="0"/>
        <w:autoSpaceDN w:val="0"/>
        <w:adjustRightInd w:val="0"/>
        <w:ind w:left="480" w:hanging="480"/>
      </w:pPr>
      <w:r w:rsidRPr="00F8707E">
        <w:t xml:space="preserve">Ershadi, C. S. (2017). Iranian journal of educational Sociology. </w:t>
      </w:r>
      <w:r w:rsidRPr="00F8707E">
        <w:rPr>
          <w:i/>
          <w:iCs/>
        </w:rPr>
        <w:t>Iranian Journal of Educational Sociology</w:t>
      </w:r>
      <w:r w:rsidRPr="00F8707E">
        <w:t xml:space="preserve">, </w:t>
      </w:r>
      <w:r w:rsidRPr="00F8707E">
        <w:rPr>
          <w:i/>
          <w:iCs/>
        </w:rPr>
        <w:t>1</w:t>
      </w:r>
      <w:r w:rsidRPr="00F8707E">
        <w:t>(5), 29–36. https://iase-idje.ir/article-1-825-en.pdf</w:t>
      </w:r>
    </w:p>
    <w:p w:rsidR="00F8707E" w:rsidRPr="00F8707E" w:rsidRDefault="00F8707E" w:rsidP="00F8707E">
      <w:pPr>
        <w:widowControl w:val="0"/>
        <w:autoSpaceDE w:val="0"/>
        <w:autoSpaceDN w:val="0"/>
        <w:adjustRightInd w:val="0"/>
        <w:ind w:left="480" w:hanging="480"/>
      </w:pPr>
      <w:r w:rsidRPr="00F8707E">
        <w:t xml:space="preserve">Fadhlullah. (2018). </w:t>
      </w:r>
      <w:r w:rsidRPr="00F8707E">
        <w:rPr>
          <w:i/>
          <w:iCs/>
        </w:rPr>
        <w:t>Peran pondok pesantren bumi karomah al-qodariyyah dalam pembinaan kader da’idi kecamatan waykhilau kabupaten pesawaran</w:t>
      </w:r>
      <w:r w:rsidRPr="00F8707E">
        <w:t xml:space="preserve"> (Vol. 7). http://repository.radenintan.ac.id/id/eprint/3426</w:t>
      </w:r>
    </w:p>
    <w:p w:rsidR="00F8707E" w:rsidRPr="00F8707E" w:rsidRDefault="00F8707E" w:rsidP="00F8707E">
      <w:pPr>
        <w:widowControl w:val="0"/>
        <w:autoSpaceDE w:val="0"/>
        <w:autoSpaceDN w:val="0"/>
        <w:adjustRightInd w:val="0"/>
        <w:ind w:left="480" w:hanging="480"/>
      </w:pPr>
      <w:r w:rsidRPr="00F8707E">
        <w:t xml:space="preserve">Fitriani, L., Perdani, Z. P., &amp; Riyantini, Y. (2020). Hubungan Tingkat Stres Remaja dengan Kemampuan Beradaptasi di Pondok Pesantren Kota Tangerang. </w:t>
      </w:r>
      <w:r w:rsidRPr="00F8707E">
        <w:rPr>
          <w:i/>
          <w:iCs/>
        </w:rPr>
        <w:t>Jurnal Kesehatan Pertiwi</w:t>
      </w:r>
      <w:r w:rsidRPr="00F8707E">
        <w:t xml:space="preserve">, </w:t>
      </w:r>
      <w:r w:rsidRPr="00F8707E">
        <w:rPr>
          <w:i/>
          <w:iCs/>
        </w:rPr>
        <w:t>2</w:t>
      </w:r>
      <w:r w:rsidRPr="00F8707E">
        <w:t>(1), 125–128.</w:t>
      </w:r>
    </w:p>
    <w:p w:rsidR="00F8707E" w:rsidRPr="00F8707E" w:rsidRDefault="00F8707E" w:rsidP="00F8707E">
      <w:pPr>
        <w:widowControl w:val="0"/>
        <w:autoSpaceDE w:val="0"/>
        <w:autoSpaceDN w:val="0"/>
        <w:adjustRightInd w:val="0"/>
        <w:ind w:left="480" w:hanging="480"/>
      </w:pPr>
      <w:r w:rsidRPr="00F8707E">
        <w:t xml:space="preserve">Hannani, U., &amp; Ajisuksmo, C. (2021). The Relationship of Self Regulated Learning with Academic Adjustment of Seventh Grade Santri of Pondok Pesantren. </w:t>
      </w:r>
      <w:r w:rsidRPr="00F8707E">
        <w:rPr>
          <w:i/>
          <w:iCs/>
        </w:rPr>
        <w:t>‎‎‎TAZKIYA: Journal of Psychology</w:t>
      </w:r>
      <w:r w:rsidRPr="00F8707E">
        <w:t xml:space="preserve">, </w:t>
      </w:r>
      <w:r w:rsidRPr="00F8707E">
        <w:rPr>
          <w:i/>
          <w:iCs/>
        </w:rPr>
        <w:t>9</w:t>
      </w:r>
      <w:r w:rsidRPr="00F8707E">
        <w:t>(2), 107–121. https://doi.org/10.15408/tazkiya.v9i2.17196</w:t>
      </w:r>
    </w:p>
    <w:p w:rsidR="00F8707E" w:rsidRPr="00F8707E" w:rsidRDefault="00F8707E" w:rsidP="00F8707E">
      <w:pPr>
        <w:widowControl w:val="0"/>
        <w:autoSpaceDE w:val="0"/>
        <w:autoSpaceDN w:val="0"/>
        <w:adjustRightInd w:val="0"/>
        <w:ind w:left="480" w:hanging="480"/>
      </w:pPr>
      <w:r w:rsidRPr="00F8707E">
        <w:t xml:space="preserve">Maranressy, Y. A. A., &amp; Rozali, Y. A. (2021). Pengaruh self-regulated learning terhadap penyesuaian akademik siswa smk di jakarta selama pembelajaran online. </w:t>
      </w:r>
      <w:r w:rsidRPr="00F8707E">
        <w:rPr>
          <w:i/>
          <w:iCs/>
        </w:rPr>
        <w:t>Psychommunity: Seminar Nasional Psikologi Esa Unggul</w:t>
      </w:r>
      <w:r w:rsidRPr="00F8707E">
        <w:t xml:space="preserve">, </w:t>
      </w:r>
      <w:r w:rsidRPr="00F8707E">
        <w:rPr>
          <w:i/>
          <w:iCs/>
        </w:rPr>
        <w:t>1</w:t>
      </w:r>
      <w:r w:rsidRPr="00F8707E">
        <w:t>(9), 78–90. https://prosiding.esaunggul.ac.id/index.php/SEMNASPSIKOLOGI/article/view/208</w:t>
      </w:r>
    </w:p>
    <w:p w:rsidR="00F8707E" w:rsidRPr="00F8707E" w:rsidRDefault="00F8707E" w:rsidP="00F8707E">
      <w:pPr>
        <w:widowControl w:val="0"/>
        <w:autoSpaceDE w:val="0"/>
        <w:autoSpaceDN w:val="0"/>
        <w:adjustRightInd w:val="0"/>
        <w:ind w:left="480" w:hanging="480"/>
      </w:pPr>
      <w:r w:rsidRPr="00F8707E">
        <w:t xml:space="preserve">Martin, A. J. (2014). </w:t>
      </w:r>
      <w:r w:rsidRPr="00F8707E">
        <w:rPr>
          <w:i/>
          <w:iCs/>
        </w:rPr>
        <w:t>Boarding School, Academic Motivation and Engagement, and Psychological Well-Being: A Large-Scale Investigation</w:t>
      </w:r>
      <w:r w:rsidRPr="00F8707E">
        <w:t>. 1007–1049. https://doi.org/10.3102/0002831214532164.0</w:t>
      </w:r>
    </w:p>
    <w:p w:rsidR="00F8707E" w:rsidRPr="00F8707E" w:rsidRDefault="00F8707E" w:rsidP="00F8707E">
      <w:pPr>
        <w:widowControl w:val="0"/>
        <w:autoSpaceDE w:val="0"/>
        <w:autoSpaceDN w:val="0"/>
        <w:adjustRightInd w:val="0"/>
        <w:ind w:left="480" w:hanging="480"/>
      </w:pPr>
      <w:r w:rsidRPr="00F8707E">
        <w:t xml:space="preserve">Mustakim, I. (2019). </w:t>
      </w:r>
      <w:r w:rsidRPr="00F8707E">
        <w:rPr>
          <w:i/>
          <w:iCs/>
        </w:rPr>
        <w:t>Gambaran penyesuaian diri pada santri baru pondok pesantren uswatun hasanah</w:t>
      </w:r>
      <w:r w:rsidRPr="00F8707E">
        <w:t xml:space="preserve"> (pp. 4–16). http://repositori.usu.ac.id/bitstream/handle/123456789/23194/131301019.pdf?sequence=1&amp;isAllowed=y</w:t>
      </w:r>
    </w:p>
    <w:p w:rsidR="00F8707E" w:rsidRPr="00F8707E" w:rsidRDefault="00F8707E" w:rsidP="00F8707E">
      <w:pPr>
        <w:widowControl w:val="0"/>
        <w:autoSpaceDE w:val="0"/>
        <w:autoSpaceDN w:val="0"/>
        <w:adjustRightInd w:val="0"/>
        <w:ind w:left="480" w:hanging="480"/>
      </w:pPr>
      <w:r w:rsidRPr="00F8707E">
        <w:t xml:space="preserve">Pfeiffer, J. P., Pinquart, M., &amp; Krick, K. (2016). Social Relationships, Prosocial Behaviour, and Perceived Social Support in Students From Boarding Schools. </w:t>
      </w:r>
      <w:r w:rsidRPr="00F8707E">
        <w:rPr>
          <w:i/>
          <w:iCs/>
        </w:rPr>
        <w:t>Canadian Journal of School Psychology</w:t>
      </w:r>
      <w:r w:rsidRPr="00F8707E">
        <w:t xml:space="preserve">, </w:t>
      </w:r>
      <w:r w:rsidRPr="00F8707E">
        <w:rPr>
          <w:i/>
          <w:iCs/>
        </w:rPr>
        <w:t>31</w:t>
      </w:r>
      <w:r w:rsidRPr="00F8707E">
        <w:t>(4), 279–289. https://doi.org/10.1177/0829573516630303</w:t>
      </w:r>
    </w:p>
    <w:p w:rsidR="00F8707E" w:rsidRPr="00F8707E" w:rsidRDefault="00F8707E" w:rsidP="00F8707E">
      <w:pPr>
        <w:widowControl w:val="0"/>
        <w:autoSpaceDE w:val="0"/>
        <w:autoSpaceDN w:val="0"/>
        <w:adjustRightInd w:val="0"/>
        <w:ind w:left="480" w:hanging="480"/>
      </w:pPr>
      <w:r w:rsidRPr="00F8707E">
        <w:t xml:space="preserve">Randi, P. okto. (2021). </w:t>
      </w:r>
      <w:r w:rsidRPr="00F8707E">
        <w:rPr>
          <w:i/>
          <w:iCs/>
        </w:rPr>
        <w:t>Penyesuaian Diri Siswa Sekolah Berasrama (Studi DeskriptifKomparatif Terhadap Siswa SMAN 1 Sumatera Barat)</w:t>
      </w:r>
      <w:r w:rsidRPr="00F8707E">
        <w:t xml:space="preserve">. </w:t>
      </w:r>
      <w:r w:rsidRPr="00F8707E">
        <w:rPr>
          <w:i/>
          <w:iCs/>
        </w:rPr>
        <w:t>1</w:t>
      </w:r>
      <w:r w:rsidRPr="00F8707E">
        <w:t>(February), 6.</w:t>
      </w:r>
    </w:p>
    <w:p w:rsidR="00F8707E" w:rsidRPr="00F8707E" w:rsidRDefault="00F8707E" w:rsidP="00F8707E">
      <w:pPr>
        <w:widowControl w:val="0"/>
        <w:autoSpaceDE w:val="0"/>
        <w:autoSpaceDN w:val="0"/>
        <w:adjustRightInd w:val="0"/>
        <w:ind w:left="480" w:hanging="480"/>
      </w:pPr>
      <w:r w:rsidRPr="00F8707E">
        <w:t xml:space="preserve">Rohinsa Sitompul, M. (2021). Reliabilitas dan Validitas Konstruk Academic Buoyancy di Indonesia. </w:t>
      </w:r>
      <w:r w:rsidRPr="00F8707E">
        <w:rPr>
          <w:i/>
          <w:iCs/>
        </w:rPr>
        <w:t>Humanitas</w:t>
      </w:r>
      <w:r w:rsidRPr="00F8707E">
        <w:t xml:space="preserve">, </w:t>
      </w:r>
      <w:r w:rsidRPr="00F8707E">
        <w:rPr>
          <w:i/>
          <w:iCs/>
        </w:rPr>
        <w:t>5</w:t>
      </w:r>
      <w:r w:rsidRPr="00F8707E">
        <w:t>(3), 389–397.</w:t>
      </w:r>
    </w:p>
    <w:p w:rsidR="00F8707E" w:rsidRPr="00F8707E" w:rsidRDefault="00F8707E" w:rsidP="00F8707E">
      <w:pPr>
        <w:widowControl w:val="0"/>
        <w:autoSpaceDE w:val="0"/>
        <w:autoSpaceDN w:val="0"/>
        <w:adjustRightInd w:val="0"/>
        <w:ind w:left="480" w:hanging="480"/>
      </w:pPr>
      <w:r w:rsidRPr="00F8707E">
        <w:t xml:space="preserve">Rozali, Y. asmi dan elfajri yashirly. (2022). </w:t>
      </w:r>
      <w:r w:rsidRPr="00F8707E">
        <w:rPr>
          <w:i/>
          <w:iCs/>
        </w:rPr>
        <w:t>Self-Regulated Learning</w:t>
      </w:r>
      <w:r w:rsidRPr="00F8707E">
        <w:t xml:space="preserve">. </w:t>
      </w:r>
      <w:r w:rsidRPr="00F8707E">
        <w:rPr>
          <w:i/>
          <w:iCs/>
        </w:rPr>
        <w:t>9</w:t>
      </w:r>
      <w:r w:rsidRPr="00F8707E">
        <w:t>, 25–43. https://doi.org/10.1007/978-3-030-85524-6_3</w:t>
      </w:r>
    </w:p>
    <w:p w:rsidR="00F8707E" w:rsidRPr="00F8707E" w:rsidRDefault="00F8707E" w:rsidP="00F8707E">
      <w:pPr>
        <w:widowControl w:val="0"/>
        <w:autoSpaceDE w:val="0"/>
        <w:autoSpaceDN w:val="0"/>
        <w:adjustRightInd w:val="0"/>
        <w:ind w:left="480" w:hanging="480"/>
      </w:pPr>
      <w:r w:rsidRPr="00F8707E">
        <w:t xml:space="preserve">Sa’idah, S. (2017). Dukungan sosial dan self-efficacy dengan penyesuaian diri pada santri tingkat pertama di pondok pesantren. </w:t>
      </w:r>
      <w:r w:rsidRPr="00F8707E">
        <w:rPr>
          <w:i/>
          <w:iCs/>
        </w:rPr>
        <w:t>Jurnal Psikologi Teori Dan Terapan</w:t>
      </w:r>
      <w:r w:rsidRPr="00F8707E">
        <w:t xml:space="preserve">, </w:t>
      </w:r>
      <w:r w:rsidRPr="00F8707E">
        <w:rPr>
          <w:i/>
          <w:iCs/>
        </w:rPr>
        <w:t>7</w:t>
      </w:r>
      <w:r w:rsidRPr="00F8707E">
        <w:t>(2), 116. https://doi.org/10.26740/jptt.v7n2.p116-122</w:t>
      </w:r>
    </w:p>
    <w:p w:rsidR="00F8707E" w:rsidRPr="00F8707E" w:rsidRDefault="00F8707E" w:rsidP="00F8707E">
      <w:pPr>
        <w:widowControl w:val="0"/>
        <w:autoSpaceDE w:val="0"/>
        <w:autoSpaceDN w:val="0"/>
        <w:adjustRightInd w:val="0"/>
        <w:ind w:left="480" w:hanging="480"/>
      </w:pPr>
      <w:r w:rsidRPr="00F8707E">
        <w:t xml:space="preserve">Saraswati, P. (2018). </w:t>
      </w:r>
      <w:r w:rsidRPr="00F8707E">
        <w:rPr>
          <w:i/>
          <w:iCs/>
        </w:rPr>
        <w:t>BUKU PANDUAN ASESMEN PSIKOLOGIS</w:t>
      </w:r>
      <w:r w:rsidRPr="00F8707E">
        <w:t>. SMA SALAHUDDIN.</w:t>
      </w:r>
    </w:p>
    <w:p w:rsidR="00F8707E" w:rsidRPr="00F8707E" w:rsidRDefault="00F8707E" w:rsidP="00F8707E">
      <w:pPr>
        <w:widowControl w:val="0"/>
        <w:autoSpaceDE w:val="0"/>
        <w:autoSpaceDN w:val="0"/>
        <w:adjustRightInd w:val="0"/>
        <w:ind w:left="480" w:hanging="480"/>
      </w:pPr>
      <w:r w:rsidRPr="00F8707E">
        <w:t xml:space="preserve">Sari, E. Y. (2019). Pengaruh penggunan media pembelajaran buku pop-up terhadap hasil belajar siswa kelas iv sdn 2 bendungan kecamatan gondang kabupaten tulungagung. </w:t>
      </w:r>
      <w:r w:rsidRPr="00F8707E">
        <w:rPr>
          <w:i/>
          <w:iCs/>
        </w:rPr>
        <w:t>Edustream : Jurnal Pendidikan Dasar</w:t>
      </w:r>
      <w:r w:rsidRPr="00F8707E">
        <w:t xml:space="preserve">, </w:t>
      </w:r>
      <w:r w:rsidRPr="00F8707E">
        <w:rPr>
          <w:i/>
          <w:iCs/>
        </w:rPr>
        <w:t>3</w:t>
      </w:r>
      <w:r w:rsidRPr="00F8707E">
        <w:t>(2), 16–22.</w:t>
      </w:r>
    </w:p>
    <w:p w:rsidR="00F8707E" w:rsidRPr="00F8707E" w:rsidRDefault="00F8707E" w:rsidP="00F8707E">
      <w:pPr>
        <w:widowControl w:val="0"/>
        <w:autoSpaceDE w:val="0"/>
        <w:autoSpaceDN w:val="0"/>
        <w:adjustRightInd w:val="0"/>
        <w:ind w:left="480" w:hanging="480"/>
      </w:pPr>
      <w:r w:rsidRPr="00F8707E">
        <w:t xml:space="preserve">Saufi, M., Budiono, A. N., &amp; Mutakin, F. (2022). Korelasi Self Regulated Learning Dengan Resiliensi Akademik Mahasiswa. </w:t>
      </w:r>
      <w:r w:rsidRPr="00F8707E">
        <w:rPr>
          <w:i/>
          <w:iCs/>
        </w:rPr>
        <w:t>Jurnal Consulenza:Jurnal Bimbingan Konseling Dan Psikologi</w:t>
      </w:r>
      <w:r w:rsidRPr="00F8707E">
        <w:t xml:space="preserve">, </w:t>
      </w:r>
      <w:r w:rsidRPr="00F8707E">
        <w:rPr>
          <w:i/>
          <w:iCs/>
        </w:rPr>
        <w:t>5</w:t>
      </w:r>
      <w:r w:rsidRPr="00F8707E">
        <w:t>(1), 67–75. http://ejurnal.uij.ac.id/index.php/CONS%0AKORELASI</w:t>
      </w:r>
    </w:p>
    <w:p w:rsidR="00F8707E" w:rsidRPr="00F8707E" w:rsidRDefault="00F8707E" w:rsidP="00F8707E">
      <w:pPr>
        <w:widowControl w:val="0"/>
        <w:autoSpaceDE w:val="0"/>
        <w:autoSpaceDN w:val="0"/>
        <w:adjustRightInd w:val="0"/>
        <w:ind w:left="480" w:hanging="480"/>
      </w:pPr>
      <w:r w:rsidRPr="00F8707E">
        <w:lastRenderedPageBreak/>
        <w:t xml:space="preserve">van Rooij, E. C. M., Jansen, E. P. W. A., &amp; van de Grift, W. J. C. M. (2018). First-year university students’ academic success: the importance of academic adjustment. </w:t>
      </w:r>
      <w:r w:rsidRPr="00F8707E">
        <w:rPr>
          <w:i/>
          <w:iCs/>
        </w:rPr>
        <w:t>European Journal of Psychology of Education</w:t>
      </w:r>
      <w:r w:rsidRPr="00F8707E">
        <w:t xml:space="preserve">, </w:t>
      </w:r>
      <w:r w:rsidRPr="00F8707E">
        <w:rPr>
          <w:i/>
          <w:iCs/>
        </w:rPr>
        <w:t>33</w:t>
      </w:r>
      <w:r w:rsidRPr="00F8707E">
        <w:t>(4), 749–767. https://doi.org/10.1007/s10212-017-0347-8</w:t>
      </w:r>
    </w:p>
    <w:p w:rsidR="006C0C45" w:rsidRDefault="00EF099C">
      <w:r>
        <w:fldChar w:fldCharType="end"/>
      </w:r>
    </w:p>
    <w:p w:rsidR="006C0C45" w:rsidRPr="002204CF" w:rsidRDefault="006C0C45" w:rsidP="002204CF">
      <w:pPr>
        <w:spacing w:after="200" w:line="276" w:lineRule="auto"/>
      </w:pPr>
    </w:p>
    <w:sectPr w:rsidR="006C0C45" w:rsidRPr="002204CF" w:rsidSect="004F660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6E7" w:rsidRDefault="005366E7" w:rsidP="00D3076D">
      <w:r>
        <w:separator/>
      </w:r>
    </w:p>
  </w:endnote>
  <w:endnote w:type="continuationSeparator" w:id="0">
    <w:p w:rsidR="005366E7" w:rsidRDefault="005366E7"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424456"/>
      <w:docPartObj>
        <w:docPartGallery w:val="Page Numbers (Bottom of Page)"/>
        <w:docPartUnique/>
      </w:docPartObj>
    </w:sdtPr>
    <w:sdtEndPr/>
    <w:sdtContent>
      <w:p w:rsidR="00D77786" w:rsidRDefault="00D77786" w:rsidP="00D3076D">
        <w:pPr>
          <w:pStyle w:val="Footer"/>
        </w:pPr>
      </w:p>
      <w:p w:rsidR="00D77786" w:rsidRPr="00053B58" w:rsidRDefault="00D77786" w:rsidP="00D3076D">
        <w:pPr>
          <w:pStyle w:val="Footer"/>
          <w:rPr>
            <w:i/>
            <w:iCs/>
          </w:rPr>
        </w:pPr>
        <w:r w:rsidRPr="00053B58">
          <w:rPr>
            <w:i/>
            <w:iCs/>
          </w:rPr>
          <w:t xml:space="preserve">Dipublikasikan Oleh : </w:t>
        </w:r>
      </w:p>
      <w:p w:rsidR="00D77786" w:rsidRPr="00053B58" w:rsidRDefault="00D77786" w:rsidP="00D3076D">
        <w:pPr>
          <w:pStyle w:val="Footer"/>
          <w:tabs>
            <w:tab w:val="clear" w:pos="9360"/>
            <w:tab w:val="right" w:pos="8505"/>
          </w:tabs>
          <w:rPr>
            <w:i/>
            <w:iCs/>
          </w:rPr>
        </w:pPr>
        <w:r w:rsidRPr="00053B58">
          <w:rPr>
            <w:i/>
            <w:iCs/>
          </w:rPr>
          <w:t xml:space="preserve">UPT Publikasi dan Pengelolaan Jurnal </w:t>
        </w:r>
      </w:p>
      <w:p w:rsidR="00D77786" w:rsidRPr="00D3076D" w:rsidRDefault="00D77786"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F8707E">
          <w:t>3</w:t>
        </w:r>
        <w:r w:rsidRPr="00053B58">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6E7" w:rsidRDefault="005366E7" w:rsidP="00D3076D">
      <w:r>
        <w:separator/>
      </w:r>
    </w:p>
  </w:footnote>
  <w:footnote w:type="continuationSeparator" w:id="0">
    <w:p w:rsidR="005366E7" w:rsidRDefault="005366E7" w:rsidP="00D307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786" w:rsidRPr="001D4CDA" w:rsidRDefault="00D77786" w:rsidP="00D3076D">
    <w:pPr>
      <w:pStyle w:val="Header"/>
      <w:jc w:val="both"/>
    </w:pPr>
    <w:r w:rsidRPr="001D4CDA">
      <w:t>Jurnal Mahasiswa BK An-Nur : Berbeda, Bermakna, Mulia</w:t>
    </w:r>
  </w:p>
  <w:p w:rsidR="00D77786" w:rsidRPr="001D4CDA" w:rsidRDefault="00D77786" w:rsidP="00D3076D">
    <w:pPr>
      <w:pStyle w:val="Header"/>
      <w:jc w:val="both"/>
    </w:pPr>
    <w:r w:rsidRPr="001D4CDA">
      <w:t>Volume….Nomor…..,Tahun</w:t>
    </w:r>
  </w:p>
  <w:p w:rsidR="00D77786" w:rsidRPr="001D4CDA" w:rsidRDefault="00D77786"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rsidR="00D77786" w:rsidRPr="001D4CDA" w:rsidRDefault="00D77786" w:rsidP="00D3076D">
    <w:pPr>
      <w:pStyle w:val="Header"/>
      <w:jc w:val="both"/>
    </w:pPr>
    <w:r w:rsidRPr="001D4CDA">
      <w:t>p-ISSN. 2460-9722</w:t>
    </w:r>
    <w:r>
      <w:t xml:space="preserve"> | </w:t>
    </w:r>
    <w:r w:rsidRPr="001D4CDA">
      <w:t>e-ISSN. 2622-8297</w:t>
    </w:r>
  </w:p>
  <w:p w:rsidR="00D77786" w:rsidRDefault="00D7778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4668FA"/>
    <w:multiLevelType w:val="hybridMultilevel"/>
    <w:tmpl w:val="D7128098"/>
    <w:lvl w:ilvl="0" w:tplc="7EC01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FB7A04"/>
    <w:multiLevelType w:val="hybridMultilevel"/>
    <w:tmpl w:val="9D9E4ED2"/>
    <w:lvl w:ilvl="0" w:tplc="20605C0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A3D"/>
    <w:rsid w:val="000B1A3D"/>
    <w:rsid w:val="000D2736"/>
    <w:rsid w:val="000E501D"/>
    <w:rsid w:val="001345CA"/>
    <w:rsid w:val="00147EB8"/>
    <w:rsid w:val="001B45CB"/>
    <w:rsid w:val="002204CF"/>
    <w:rsid w:val="002E049A"/>
    <w:rsid w:val="0037095C"/>
    <w:rsid w:val="003833A2"/>
    <w:rsid w:val="00447AD9"/>
    <w:rsid w:val="004D4BFF"/>
    <w:rsid w:val="004E493E"/>
    <w:rsid w:val="004F6603"/>
    <w:rsid w:val="00517E64"/>
    <w:rsid w:val="005307D1"/>
    <w:rsid w:val="005366E7"/>
    <w:rsid w:val="0055016C"/>
    <w:rsid w:val="006627E4"/>
    <w:rsid w:val="00665A7B"/>
    <w:rsid w:val="006C0C45"/>
    <w:rsid w:val="0075762C"/>
    <w:rsid w:val="007A6038"/>
    <w:rsid w:val="008507BC"/>
    <w:rsid w:val="008938AC"/>
    <w:rsid w:val="008D0831"/>
    <w:rsid w:val="008F3710"/>
    <w:rsid w:val="009F2844"/>
    <w:rsid w:val="00A10DDF"/>
    <w:rsid w:val="00A62A2C"/>
    <w:rsid w:val="00A81842"/>
    <w:rsid w:val="00A917A0"/>
    <w:rsid w:val="00B57448"/>
    <w:rsid w:val="00B720ED"/>
    <w:rsid w:val="00BA6264"/>
    <w:rsid w:val="00BB4174"/>
    <w:rsid w:val="00BB434A"/>
    <w:rsid w:val="00BC1C24"/>
    <w:rsid w:val="00BF6421"/>
    <w:rsid w:val="00C37032"/>
    <w:rsid w:val="00C9124B"/>
    <w:rsid w:val="00D3076D"/>
    <w:rsid w:val="00D40403"/>
    <w:rsid w:val="00D77786"/>
    <w:rsid w:val="00DF3FA2"/>
    <w:rsid w:val="00E001A2"/>
    <w:rsid w:val="00EF099C"/>
    <w:rsid w:val="00F527F8"/>
    <w:rsid w:val="00F8707E"/>
    <w:rsid w:val="00FB6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CC835"/>
  <w15:docId w15:val="{5D050D25-5A42-4747-9443-486405C6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1">
    <w:name w:val="heading 1"/>
    <w:basedOn w:val="Normal"/>
    <w:next w:val="Normal"/>
    <w:link w:val="Heading1Char"/>
    <w:uiPriority w:val="9"/>
    <w:qFormat/>
    <w:rsid w:val="00EF099C"/>
    <w:pPr>
      <w:keepNext/>
      <w:keepLines/>
      <w:spacing w:before="240" w:line="259" w:lineRule="auto"/>
      <w:outlineLvl w:val="0"/>
    </w:pPr>
    <w:rPr>
      <w:rFonts w:asciiTheme="majorHAnsi" w:eastAsiaTheme="majorEastAsia" w:hAnsiTheme="majorHAnsi" w:cstheme="majorBidi"/>
      <w:noProof w:val="0"/>
      <w:color w:val="365F91"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99C"/>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0B1A3D"/>
    <w:rPr>
      <w:i/>
      <w:iCs/>
    </w:rPr>
  </w:style>
  <w:style w:type="table" w:styleId="TableGrid">
    <w:name w:val="Table Grid"/>
    <w:basedOn w:val="Table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uthorarticle">
    <w:name w:val="Author article"/>
    <w:basedOn w:val="Normal"/>
    <w:link w:val="AuthorarticleChar"/>
    <w:qFormat/>
    <w:rsid w:val="0075762C"/>
    <w:pPr>
      <w:keepNext/>
      <w:suppressAutoHyphens/>
      <w:spacing w:after="160" w:line="300" w:lineRule="exact"/>
      <w:ind w:right="2"/>
    </w:pPr>
    <w:rPr>
      <w:rFonts w:ascii="Tahoma" w:hAnsi="Tahoma"/>
      <w:sz w:val="22"/>
      <w:szCs w:val="22"/>
      <w:lang w:val="en-US" w:eastAsia="en-US"/>
    </w:rPr>
  </w:style>
  <w:style w:type="character" w:customStyle="1" w:styleId="AuthorarticleChar">
    <w:name w:val="Author article Char"/>
    <w:basedOn w:val="DefaultParagraphFont"/>
    <w:link w:val="Authorarticle"/>
    <w:rsid w:val="0075762C"/>
    <w:rPr>
      <w:rFonts w:ascii="Tahoma" w:eastAsia="SimSun" w:hAnsi="Tahoma" w:cs="Times New Roman"/>
      <w:noProof/>
    </w:rPr>
  </w:style>
  <w:style w:type="character" w:styleId="PlaceholderText">
    <w:name w:val="Placeholder Text"/>
    <w:rsid w:val="00BB434A"/>
    <w:rPr>
      <w:color w:val="808080"/>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364682">
      <w:bodyDiv w:val="1"/>
      <w:marLeft w:val="0"/>
      <w:marRight w:val="0"/>
      <w:marTop w:val="0"/>
      <w:marBottom w:val="0"/>
      <w:divBdr>
        <w:top w:val="none" w:sz="0" w:space="0" w:color="auto"/>
        <w:left w:val="none" w:sz="0" w:space="0" w:color="auto"/>
        <w:bottom w:val="none" w:sz="0" w:space="0" w:color="auto"/>
        <w:right w:val="none" w:sz="0" w:space="0" w:color="auto"/>
      </w:divBdr>
    </w:div>
    <w:div w:id="1561092657">
      <w:bodyDiv w:val="1"/>
      <w:marLeft w:val="0"/>
      <w:marRight w:val="0"/>
      <w:marTop w:val="0"/>
      <w:marBottom w:val="0"/>
      <w:divBdr>
        <w:top w:val="none" w:sz="0" w:space="0" w:color="auto"/>
        <w:left w:val="none" w:sz="0" w:space="0" w:color="auto"/>
        <w:bottom w:val="none" w:sz="0" w:space="0" w:color="auto"/>
        <w:right w:val="none" w:sz="0" w:space="0" w:color="auto"/>
      </w:divBdr>
    </w:div>
    <w:div w:id="1625378931">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 w:id="180650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hozali@umsida.a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ojs.uniska-bjm.ac.id/index.php/AN-NUR/inde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F4A2148F0941FE8460C97D8D094887"/>
        <w:category>
          <w:name w:val="General"/>
          <w:gallery w:val="placeholder"/>
        </w:category>
        <w:types>
          <w:type w:val="bbPlcHdr"/>
        </w:types>
        <w:behaviors>
          <w:behavior w:val="content"/>
        </w:behaviors>
        <w:guid w:val="{B5920C6D-0227-47B3-AC77-36DC3D9DB9BD}"/>
      </w:docPartPr>
      <w:docPartBody>
        <w:p w:rsidR="00DE79FA" w:rsidRDefault="009906AB" w:rsidP="009906AB">
          <w:pPr>
            <w:pStyle w:val="B5F4A2148F0941FE8460C97D8D094887"/>
          </w:pPr>
          <w:r w:rsidRPr="0011498D">
            <w:rPr>
              <w:rStyle w:val="PlaceholderText"/>
            </w:rPr>
            <w:t>Click or tap here to enter text.</w:t>
          </w:r>
        </w:p>
      </w:docPartBody>
    </w:docPart>
    <w:docPart>
      <w:docPartPr>
        <w:name w:val="C4A630C328A14F1CB722F4597B85046D"/>
        <w:category>
          <w:name w:val="General"/>
          <w:gallery w:val="placeholder"/>
        </w:category>
        <w:types>
          <w:type w:val="bbPlcHdr"/>
        </w:types>
        <w:behaviors>
          <w:behavior w:val="content"/>
        </w:behaviors>
        <w:guid w:val="{2C85DE68-9CC4-4523-BE4C-375AB20C2DFF}"/>
      </w:docPartPr>
      <w:docPartBody>
        <w:p w:rsidR="00DE79FA" w:rsidRDefault="009906AB" w:rsidP="009906AB">
          <w:pPr>
            <w:pStyle w:val="C4A630C328A14F1CB722F4597B85046D"/>
          </w:pPr>
          <w:r w:rsidRPr="0011498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AB"/>
    <w:rsid w:val="002859C9"/>
    <w:rsid w:val="00624F3F"/>
    <w:rsid w:val="006F6D68"/>
    <w:rsid w:val="009906AB"/>
    <w:rsid w:val="00DE7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rsid w:val="009906AB"/>
    <w:rPr>
      <w:color w:val="808080"/>
      <w:w w:val="100"/>
      <w:position w:val="-1"/>
      <w:effect w:val="none"/>
      <w:vertAlign w:val="baseline"/>
      <w:cs w:val="0"/>
      <w:em w:val="none"/>
    </w:rPr>
  </w:style>
  <w:style w:type="paragraph" w:customStyle="1" w:styleId="5CC9A92FF9904ABBA6475B58A448689D">
    <w:name w:val="5CC9A92FF9904ABBA6475B58A448689D"/>
    <w:rsid w:val="009906AB"/>
  </w:style>
  <w:style w:type="paragraph" w:customStyle="1" w:styleId="B5F4A2148F0941FE8460C97D8D094887">
    <w:name w:val="B5F4A2148F0941FE8460C97D8D094887"/>
    <w:rsid w:val="009906AB"/>
  </w:style>
  <w:style w:type="paragraph" w:customStyle="1" w:styleId="C4A630C328A14F1CB722F4597B85046D">
    <w:name w:val="C4A630C328A14F1CB722F4597B85046D"/>
    <w:rsid w:val="009906AB"/>
  </w:style>
  <w:style w:type="paragraph" w:customStyle="1" w:styleId="C75A048E93264245B297481FD9DC6CCA">
    <w:name w:val="C75A048E93264245B297481FD9DC6CCA"/>
    <w:rsid w:val="009906AB"/>
  </w:style>
  <w:style w:type="paragraph" w:customStyle="1" w:styleId="6E3B4067B4654D6C8A0D202C71FAFD3B">
    <w:name w:val="6E3B4067B4654D6C8A0D202C71FAFD3B"/>
    <w:rsid w:val="009906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DF8F2-F3AC-4B6C-97D6-CABFBD5C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12</Pages>
  <Words>12067</Words>
  <Characters>68788</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10</cp:revision>
  <dcterms:created xsi:type="dcterms:W3CDTF">2023-01-10T08:46:00Z</dcterms:created>
  <dcterms:modified xsi:type="dcterms:W3CDTF">2023-08-22T05:34:00Z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4bd24c28-5940-3fa4-b096-111a3e4e5ab8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