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91521" w:rsidRPr="00962996" w:rsidRDefault="00791521" w:rsidP="00962996">
      <w:pPr>
        <w:spacing w:after="0" w:line="240" w:lineRule="auto"/>
        <w:jc w:val="both"/>
        <w:rPr>
          <w:rFonts w:ascii="Times New Roman" w:hAnsi="Times New Roman" w:cs="Times New Roman"/>
          <w:b/>
          <w:bCs/>
        </w:rPr>
      </w:pPr>
    </w:p>
    <w:p w:rsidR="00F62270" w:rsidRPr="00962996" w:rsidRDefault="00000000" w:rsidP="00962996">
      <w:pPr>
        <w:spacing w:after="0" w:line="240" w:lineRule="auto"/>
        <w:jc w:val="center"/>
        <w:rPr>
          <w:rFonts w:ascii="Times New Roman" w:hAnsi="Times New Roman" w:cs="Times New Roman"/>
          <w:b/>
          <w:bCs/>
          <w:sz w:val="44"/>
          <w:szCs w:val="48"/>
          <w:lang w:val="en-US"/>
        </w:rPr>
      </w:pPr>
      <w:r w:rsidRPr="00962996">
        <w:rPr>
          <w:rFonts w:ascii="Times New Roman" w:hAnsi="Times New Roman" w:cs="Times New Roman"/>
          <w:b/>
          <w:bCs/>
          <w:sz w:val="44"/>
          <w:szCs w:val="48"/>
          <w:lang w:val="en-US"/>
        </w:rPr>
        <w:t xml:space="preserve">The effect of math anxiety on students' mathematics performance with the mediating role of math self-efficacy </w:t>
      </w:r>
    </w:p>
    <w:p w:rsidR="00F62270" w:rsidRPr="00962996" w:rsidRDefault="00F62270" w:rsidP="00962996">
      <w:pPr>
        <w:spacing w:after="0" w:line="240" w:lineRule="auto"/>
        <w:jc w:val="center"/>
        <w:rPr>
          <w:rFonts w:ascii="Times New Roman" w:hAnsi="Times New Roman" w:cs="Times New Roman"/>
          <w:b/>
          <w:bCs/>
          <w:sz w:val="28"/>
          <w:szCs w:val="32"/>
          <w:lang w:val="en-US"/>
        </w:rPr>
      </w:pPr>
    </w:p>
    <w:p w:rsidR="00CD3631" w:rsidRPr="00962996" w:rsidRDefault="00000000" w:rsidP="00962996">
      <w:pPr>
        <w:spacing w:after="0" w:line="240" w:lineRule="auto"/>
        <w:jc w:val="center"/>
        <w:rPr>
          <w:rFonts w:ascii="Times New Roman" w:hAnsi="Times New Roman" w:cs="Times New Roman"/>
          <w:b/>
          <w:bCs/>
          <w:sz w:val="28"/>
          <w:szCs w:val="32"/>
          <w:lang w:val="en-US"/>
        </w:rPr>
      </w:pPr>
      <w:r w:rsidRPr="00962996">
        <w:rPr>
          <w:rFonts w:ascii="Times New Roman" w:hAnsi="Times New Roman" w:cs="Times New Roman"/>
          <w:b/>
          <w:bCs/>
          <w:sz w:val="28"/>
          <w:szCs w:val="32"/>
          <w:lang w:val="en-US"/>
        </w:rPr>
        <w:t>Andi Alifian Burhanuddin and Ghozali Rusyid Affandi</w:t>
      </w:r>
    </w:p>
    <w:p w:rsidR="00CD3631" w:rsidRPr="00962996" w:rsidRDefault="00000000" w:rsidP="00962996">
      <w:pPr>
        <w:spacing w:after="0" w:line="240" w:lineRule="auto"/>
        <w:jc w:val="center"/>
        <w:rPr>
          <w:rFonts w:ascii="Times New Roman" w:hAnsi="Times New Roman" w:cs="Times New Roman"/>
          <w:b/>
          <w:bCs/>
          <w:sz w:val="24"/>
          <w:szCs w:val="28"/>
          <w:lang w:val="en-US"/>
        </w:rPr>
      </w:pPr>
      <w:r w:rsidRPr="00962996">
        <w:rPr>
          <w:rFonts w:ascii="Times New Roman" w:hAnsi="Times New Roman" w:cs="Times New Roman"/>
          <w:b/>
          <w:bCs/>
          <w:sz w:val="24"/>
          <w:szCs w:val="28"/>
          <w:lang w:val="en-US"/>
        </w:rPr>
        <w:t>Universitas Muhammadiyah Sidoarjo, Sidoarjo, Indonesia</w:t>
      </w:r>
    </w:p>
    <w:p w:rsidR="006455C2" w:rsidRPr="00962996" w:rsidRDefault="00000000" w:rsidP="00962996">
      <w:pPr>
        <w:spacing w:after="0" w:line="240" w:lineRule="auto"/>
        <w:jc w:val="center"/>
        <w:rPr>
          <w:rFonts w:ascii="Times New Roman" w:hAnsi="Times New Roman" w:cs="Times New Roman"/>
          <w:b/>
          <w:bCs/>
          <w:sz w:val="24"/>
          <w:szCs w:val="24"/>
        </w:rPr>
      </w:pPr>
      <w:hyperlink r:id="rId8" w:history="1">
        <w:r w:rsidR="00CD3631" w:rsidRPr="00962996">
          <w:rPr>
            <w:rStyle w:val="Hyperlink"/>
            <w:rFonts w:ascii="Times New Roman" w:hAnsi="Times New Roman" w:cs="Times New Roman"/>
            <w:b/>
            <w:bCs/>
            <w:sz w:val="24"/>
            <w:szCs w:val="28"/>
            <w:lang w:val="en-US"/>
          </w:rPr>
          <w:t>alifianburhanuddin@gmail.com</w:t>
        </w:r>
      </w:hyperlink>
      <w:r w:rsidR="00CD3631" w:rsidRPr="00962996">
        <w:rPr>
          <w:rFonts w:ascii="Times New Roman" w:hAnsi="Times New Roman" w:cs="Times New Roman"/>
          <w:b/>
          <w:bCs/>
          <w:sz w:val="24"/>
          <w:szCs w:val="24"/>
        </w:rPr>
        <w:t xml:space="preserve"> </w:t>
      </w:r>
    </w:p>
    <w:p w:rsidR="00791521" w:rsidRPr="00962996" w:rsidRDefault="00791521" w:rsidP="00962996">
      <w:pPr>
        <w:spacing w:after="0" w:line="240" w:lineRule="auto"/>
        <w:jc w:val="center"/>
        <w:rPr>
          <w:rFonts w:ascii="Times New Roman" w:hAnsi="Times New Roman" w:cs="Times New Roman"/>
          <w:b/>
          <w:bCs/>
          <w:sz w:val="32"/>
          <w:szCs w:val="32"/>
        </w:rPr>
      </w:pPr>
    </w:p>
    <w:p w:rsidR="00791521" w:rsidRPr="00962996" w:rsidRDefault="00000000" w:rsidP="00962996">
      <w:pPr>
        <w:spacing w:after="0" w:line="240" w:lineRule="auto"/>
        <w:jc w:val="center"/>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ABSTRACT</w:t>
      </w:r>
    </w:p>
    <w:p w:rsidR="00CD3631"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mathematics performance of Indonesian students is low, and there are still many students who have not reached the minimum level. Many factors affect students' mathematics performance, including math anxiety and math self-efficacy. This study was conducted to determine whether there is a mediating role of math self-efficacy on the effect between math anxiety and math performance. This research is quantitative research with a mediated path analysis model. The subjects were 236 students at MTs Nurul Huda Sedati who were taken using a proportionate stratified random sampling technique. To measure math anxiety and math self-efficacy, each used adaptations of the Scale for Assessing Math Anxiety in Secondary School (SAMAS) and Alat Ukur Efikasi Matematika Indonesia (AUKEMI). And the original score of the final semester exam to measure mathematics performance. The results showed (1) there is no direct effect between math anxiety and mathematics performance; (2) math self-efficacy fully mediates the effect between math anxiety and mathematics performance; (3) math anxiety has a negative effect on math self-efficacy. Thus, to improve mathematics performance will be more effective to focus on improving students' math self-efficacy.</w:t>
      </w:r>
    </w:p>
    <w:p w:rsidR="007E3A7E" w:rsidRPr="00962996" w:rsidRDefault="007E3A7E" w:rsidP="00962996">
      <w:pPr>
        <w:spacing w:after="0" w:line="240" w:lineRule="auto"/>
        <w:jc w:val="both"/>
        <w:rPr>
          <w:rFonts w:ascii="Times New Roman" w:hAnsi="Times New Roman" w:cs="Times New Roman"/>
          <w:sz w:val="24"/>
          <w:szCs w:val="24"/>
        </w:rPr>
      </w:pPr>
    </w:p>
    <w:p w:rsidR="00DC30F6"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b/>
          <w:bCs/>
          <w:sz w:val="24"/>
          <w:szCs w:val="24"/>
          <w:lang w:val="en-US"/>
        </w:rPr>
        <w:t>Keywords</w:t>
      </w:r>
      <w:r w:rsidRPr="00962996">
        <w:rPr>
          <w:rFonts w:ascii="Times New Roman" w:hAnsi="Times New Roman" w:cs="Times New Roman"/>
          <w:sz w:val="24"/>
          <w:szCs w:val="24"/>
        </w:rPr>
        <w:t xml:space="preserve">: </w:t>
      </w:r>
      <w:r w:rsidR="00CD3631" w:rsidRPr="00962996">
        <w:rPr>
          <w:rFonts w:ascii="Times New Roman" w:hAnsi="Times New Roman" w:cs="Times New Roman"/>
          <w:sz w:val="24"/>
          <w:szCs w:val="24"/>
        </w:rPr>
        <w:t>Math anxiety; math self-efficacy; mathematics performance.</w:t>
      </w:r>
    </w:p>
    <w:p w:rsidR="00DC30F6" w:rsidRPr="00962996" w:rsidRDefault="00DC30F6" w:rsidP="00962996">
      <w:pPr>
        <w:spacing w:after="0" w:line="240" w:lineRule="auto"/>
        <w:jc w:val="both"/>
        <w:rPr>
          <w:rFonts w:ascii="Times New Roman" w:hAnsi="Times New Roman" w:cs="Times New Roman"/>
          <w:sz w:val="24"/>
          <w:szCs w:val="24"/>
        </w:rPr>
      </w:pPr>
    </w:p>
    <w:p w:rsidR="00F62270" w:rsidRPr="00962996" w:rsidRDefault="00F62270" w:rsidP="00962996">
      <w:pPr>
        <w:spacing w:after="0" w:line="240" w:lineRule="auto"/>
        <w:jc w:val="both"/>
        <w:rPr>
          <w:rFonts w:ascii="Times New Roman" w:hAnsi="Times New Roman" w:cs="Times New Roman"/>
          <w:b/>
          <w:bCs/>
          <w:sz w:val="28"/>
          <w:szCs w:val="28"/>
          <w:lang w:val="en-US"/>
        </w:rPr>
      </w:pPr>
    </w:p>
    <w:p w:rsidR="00DC30F6"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Introduction</w:t>
      </w:r>
    </w:p>
    <w:p w:rsidR="00CD3631"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Based on the results of the PISA</w:t>
      </w:r>
      <w:r w:rsidRPr="00962996">
        <w:rPr>
          <w:rFonts w:ascii="Times New Roman" w:hAnsi="Times New Roman" w:cs="Times New Roman"/>
          <w:sz w:val="24"/>
          <w:szCs w:val="24"/>
        </w:rPr>
        <w:t xml:space="preserve"> (Programme for International Students Assessment),</w:t>
      </w:r>
      <w:r w:rsidR="00B04583" w:rsidRPr="00962996">
        <w:rPr>
          <w:rFonts w:ascii="Times New Roman" w:hAnsi="Times New Roman" w:cs="Times New Roman"/>
          <w:sz w:val="24"/>
          <w:szCs w:val="24"/>
          <w:lang w:val="en-US"/>
        </w:rPr>
        <w:t xml:space="preserve"> </w:t>
      </w:r>
      <w:r w:rsidR="00B04583" w:rsidRPr="00962996">
        <w:rPr>
          <w:rFonts w:ascii="Times New Roman" w:hAnsi="Times New Roman" w:cs="Times New Roman"/>
          <w:sz w:val="24"/>
          <w:szCs w:val="24"/>
        </w:rPr>
        <w:t xml:space="preserve">Indonesian students obtained an average knowledge and proficiency score in mathematics of 386 from the average PISA mathematics score in 2015 of 490 </w:t>
      </w:r>
      <w:r w:rsidR="00723F77" w:rsidRPr="00962996">
        <w:rPr>
          <w:rFonts w:ascii="Times New Roman" w:hAnsi="Times New Roman" w:cs="Times New Roman"/>
          <w:sz w:val="24"/>
          <w:szCs w:val="24"/>
        </w:rPr>
        <w:fldChar w:fldCharType="begin" w:fldLock="1"/>
      </w:r>
      <w:r w:rsidR="00723F77" w:rsidRPr="00962996">
        <w:rPr>
          <w:rFonts w:ascii="Times New Roman" w:hAnsi="Times New Roman" w:cs="Times New Roman"/>
          <w:sz w:val="24"/>
          <w:szCs w:val="24"/>
        </w:rPr>
        <w:instrText>ADDIN CSL_CITATION {"citationItems":[{"id":"ITEM-1","itemData":{"DOI":"https://doi.org/10.1787/aa9237e6-en","author":[{"dropping-particle":"","family":"OECD","given":"","non-dropping-particle":"","parse-names":false,"suffix":""}],"id":"ITEM-1","issued":{"date-parts":[["2016"]]},"number-of-pages":"3-29","title":"PISA 2015 Results in Focus","type":"report"},"uris":["http://www.mendeley.com/documents/?uuid=b792ac49-e5cb-40b9-8880-fe96e63a8d47"]}],"mendeley":{"formattedCitation":"(OECD, 2016)","plainTextFormattedCitation":"(OECD, 2016)","previouslyFormattedCitation":"(OECD, 2016)"},"properties":{"noteIndex":0},"schema":"https://github.com/citation-style-language/schema/raw/master/csl-citation.json"}</w:instrText>
      </w:r>
      <w:r w:rsidR="00723F77" w:rsidRPr="00962996">
        <w:rPr>
          <w:rFonts w:ascii="Times New Roman" w:hAnsi="Times New Roman" w:cs="Times New Roman"/>
          <w:sz w:val="24"/>
          <w:szCs w:val="24"/>
        </w:rPr>
        <w:fldChar w:fldCharType="separate"/>
      </w:r>
      <w:r w:rsidR="00723F77" w:rsidRPr="00962996">
        <w:rPr>
          <w:rFonts w:ascii="Times New Roman" w:hAnsi="Times New Roman" w:cs="Times New Roman"/>
          <w:noProof/>
          <w:sz w:val="24"/>
          <w:szCs w:val="24"/>
        </w:rPr>
        <w:t>(OECD, 2016)</w:t>
      </w:r>
      <w:r w:rsidR="00723F77"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w:t>
      </w:r>
      <w:r w:rsidR="00B04583" w:rsidRPr="00962996">
        <w:rPr>
          <w:rFonts w:ascii="Times New Roman" w:hAnsi="Times New Roman" w:cs="Times New Roman"/>
          <w:sz w:val="24"/>
          <w:szCs w:val="24"/>
        </w:rPr>
        <w:t>and decreased in PISA 2018 by obtaining a score of 379 from the average PISA math score of 489</w:t>
      </w:r>
      <w:r w:rsidRPr="00962996">
        <w:rPr>
          <w:rFonts w:ascii="Times New Roman" w:hAnsi="Times New Roman" w:cs="Times New Roman"/>
          <w:sz w:val="24"/>
          <w:szCs w:val="24"/>
        </w:rPr>
        <w:t xml:space="preserve"> </w:t>
      </w:r>
      <w:r w:rsidR="00723F77" w:rsidRPr="00962996">
        <w:rPr>
          <w:rFonts w:ascii="Times New Roman" w:hAnsi="Times New Roman" w:cs="Times New Roman"/>
          <w:sz w:val="24"/>
          <w:szCs w:val="24"/>
        </w:rPr>
        <w:fldChar w:fldCharType="begin" w:fldLock="1"/>
      </w:r>
      <w:r w:rsidR="00723F77" w:rsidRPr="00962996">
        <w:rPr>
          <w:rFonts w:ascii="Times New Roman" w:hAnsi="Times New Roman" w:cs="Times New Roman"/>
          <w:sz w:val="24"/>
          <w:szCs w:val="24"/>
        </w:rPr>
        <w:instrText>ADDIN CSL_CITATION {"citationItems":[{"id":"ITEM-1","itemData":{"abstract":"The OECD Programme for International Student Assessment (PISA) examines what students know in reading, mathematics and science, and what they can do with what they know. It provides the most comprehensive and rigorous international assessment of student learning outcomes to date. Results from PISA indicate the quality and equity of learning outcomes attained around the world, and allow educators and policy makers to learn from the policies and practices applied in other countries. PISA 2018 findings showed that 15-year-old students in four provinces/municipalities of China -- Beijing, Shanghai, Jiangsu and Zhejiang -- outperformed their peers in all of the other 78 participating education systems -- in mathematics and science by a wide margin, and in reading, only Singapore came close. In fact, the 10% most disadvantaged students in these four provinces showed better reading skills than those of the average student in OECD countries, and performed on a par with the 10% most advantaged students in some of them. The size of each compares to that of a typical OECD country, and their combined populations amount to over 180 million. What makes their achievement even more remarkable is that the level of income of these four Chinese regions is well below the OECD average. At the same time, they have a long way to go when it comes to improving the social and emotional outcomes, and other aspects of students' well-being that were measured by PISA 2018, areas where other countries excel (more on that later). Findings also showed that some of today's highest-performing education systems have only recently attained their top positions. Some countries were able to move to a more positive trajectory in recent years after a period of stagnation or decline. PISA also shows that in most countries excellence in education is apparent amongst some of the most disadvantaged students and schools. Factors that PISA shows to be positively associated with academic resilience include support from parents, a positive school climate and having a growth mindset. When comparing countries that score similarly in PISA, their income levels vary widely. History shows that countries with the determination to build a first-class education system can achieve this even in adverse economic circumstances, and their schools today will be their economy and society tomorrow. This summary report highlights the major findings of PISA 2018 while addressing topics such as new technologies; building …","author":[{"dropping-particle":"","family":"Schleicher","given":"Andreas","non-dropping-particle":"","parse-names":false,"suffix":""}],"container-title":"OECD Publishing","id":"ITEM-1","issued":{"date-parts":[["2019"]]},"number-of-pages":"1-64","publisher-place":"Paris","title":"PISA 2018: Insights and Interpretations","type":"report"},"uris":["http://www.mendeley.com/documents/?uuid=5be0fdfc-5f17-4ff3-a8a0-10e97ace51af"]}],"mendeley":{"formattedCitation":"(Schleicher, 2019)","plainTextFormattedCitation":"(Schleicher, 2019)","previouslyFormattedCitation":"(Schleicher, 2019)"},"properties":{"noteIndex":0},"schema":"https://github.com/citation-style-language/schema/raw/master/csl-citation.json"}</w:instrText>
      </w:r>
      <w:r w:rsidR="00723F77" w:rsidRPr="00962996">
        <w:rPr>
          <w:rFonts w:ascii="Times New Roman" w:hAnsi="Times New Roman" w:cs="Times New Roman"/>
          <w:sz w:val="24"/>
          <w:szCs w:val="24"/>
        </w:rPr>
        <w:fldChar w:fldCharType="separate"/>
      </w:r>
      <w:r w:rsidR="00723F77" w:rsidRPr="00962996">
        <w:rPr>
          <w:rFonts w:ascii="Times New Roman" w:hAnsi="Times New Roman" w:cs="Times New Roman"/>
          <w:noProof/>
          <w:sz w:val="24"/>
          <w:szCs w:val="24"/>
        </w:rPr>
        <w:t>(Schleicher, 2019)</w:t>
      </w:r>
      <w:r w:rsidR="00723F77" w:rsidRPr="00962996">
        <w:rPr>
          <w:rFonts w:ascii="Times New Roman" w:hAnsi="Times New Roman" w:cs="Times New Roman"/>
          <w:sz w:val="24"/>
          <w:szCs w:val="24"/>
        </w:rPr>
        <w:fldChar w:fldCharType="end"/>
      </w:r>
      <w:r w:rsidR="00723F77" w:rsidRPr="00962996">
        <w:rPr>
          <w:rFonts w:ascii="Times New Roman" w:hAnsi="Times New Roman" w:cs="Times New Roman"/>
          <w:sz w:val="24"/>
          <w:szCs w:val="24"/>
          <w:lang w:val="en-US"/>
        </w:rPr>
        <w:t xml:space="preserve">. </w:t>
      </w:r>
      <w:r w:rsidR="00565F70" w:rsidRPr="00962996">
        <w:rPr>
          <w:rFonts w:ascii="Times New Roman" w:hAnsi="Times New Roman" w:cs="Times New Roman"/>
          <w:sz w:val="24"/>
          <w:szCs w:val="24"/>
          <w:lang w:val="en-US"/>
        </w:rPr>
        <w:t>Additionally, the 2018 PISA results showed that only 28% of Indonesian students scored level 2 (minimum level) or above and only 1% of students scored level 5 or above in math</w:t>
      </w:r>
      <w:r w:rsidRPr="00962996">
        <w:rPr>
          <w:rFonts w:ascii="Times New Roman" w:hAnsi="Times New Roman" w:cs="Times New Roman"/>
          <w:sz w:val="24"/>
          <w:szCs w:val="24"/>
        </w:rPr>
        <w:t xml:space="preserve"> </w:t>
      </w:r>
      <w:r w:rsidR="00723F77" w:rsidRPr="00962996">
        <w:rPr>
          <w:rFonts w:ascii="Times New Roman" w:hAnsi="Times New Roman" w:cs="Times New Roman"/>
          <w:sz w:val="24"/>
          <w:szCs w:val="24"/>
        </w:rPr>
        <w:fldChar w:fldCharType="begin" w:fldLock="1"/>
      </w:r>
      <w:r w:rsidR="00723F77" w:rsidRPr="00962996">
        <w:rPr>
          <w:rFonts w:ascii="Times New Roman" w:hAnsi="Times New Roman" w:cs="Times New Roman"/>
          <w:sz w:val="24"/>
          <w:szCs w:val="24"/>
        </w:rPr>
        <w:instrText>ADDIN CSL_CITATION {"citationItems":[{"id":"ITEM-1","itemData":{"author":[{"dropping-particle":"","family":"Avvisati","given":"F","non-dropping-particle":"","parse-names":false,"suffix":""},{"dropping-particle":"","family":"Echazarra","given":"A","non-dropping-particle":"","parse-names":false,"suffix":""},{"dropping-particle":"","family":"Givord","given":"P","non-dropping-particle":"","parse-names":false,"suffix":""},{"dropping-particle":"","family":"Schwabe","given":"M","non-dropping-particle":"","parse-names":false,"suffix":""}],"container-title":"OECD Publishing","id":"ITEM-1","issue":"3","issued":{"date-parts":[["2019"]]},"number-of-pages":"1-10","title":"Indonesia - Country Note - PISA 2018 Results","type":"report","volume":"1"},"uris":["http://www.mendeley.com/documents/?uuid=95c3874d-2029-4bbf-8f15-c633df94c53f"]}],"mendeley":{"formattedCitation":"(Avvisati et al., 2019)","plainTextFormattedCitation":"(Avvisati et al., 2019)","previouslyFormattedCitation":"(Avvisati et al., 2019)"},"properties":{"noteIndex":0},"schema":"https://github.com/citation-style-language/schema/raw/master/csl-citation.json"}</w:instrText>
      </w:r>
      <w:r w:rsidR="00723F77" w:rsidRPr="00962996">
        <w:rPr>
          <w:rFonts w:ascii="Times New Roman" w:hAnsi="Times New Roman" w:cs="Times New Roman"/>
          <w:sz w:val="24"/>
          <w:szCs w:val="24"/>
        </w:rPr>
        <w:fldChar w:fldCharType="separate"/>
      </w:r>
      <w:r w:rsidR="00723F77" w:rsidRPr="00962996">
        <w:rPr>
          <w:rFonts w:ascii="Times New Roman" w:hAnsi="Times New Roman" w:cs="Times New Roman"/>
          <w:noProof/>
          <w:sz w:val="24"/>
          <w:szCs w:val="24"/>
        </w:rPr>
        <w:t>(Avvisati et al., 2019)</w:t>
      </w:r>
      <w:r w:rsidR="00723F77"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w:t>
      </w:r>
      <w:r w:rsidR="00565F70" w:rsidRPr="00962996">
        <w:rPr>
          <w:rFonts w:ascii="Times New Roman" w:hAnsi="Times New Roman" w:cs="Times New Roman"/>
          <w:sz w:val="24"/>
          <w:szCs w:val="24"/>
          <w:lang w:val="en-US"/>
        </w:rPr>
        <w:t>These results can be concluded that the mathematics performance of Indonesian students is low and there are still many students who have not reached the minimum level.</w:t>
      </w:r>
    </w:p>
    <w:p w:rsidR="006412AD"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Similar conditions also occurred in one of the junior high schools, MTs Nurul Huda Sedati</w:t>
      </w:r>
      <w:r w:rsidR="00CD3631" w:rsidRPr="00962996">
        <w:rPr>
          <w:rFonts w:ascii="Times New Roman" w:hAnsi="Times New Roman" w:cs="Times New Roman"/>
          <w:sz w:val="24"/>
          <w:szCs w:val="24"/>
        </w:rPr>
        <w:t xml:space="preserve">. </w:t>
      </w:r>
      <w:r w:rsidRPr="00962996">
        <w:rPr>
          <w:rFonts w:ascii="Times New Roman" w:hAnsi="Times New Roman" w:cs="Times New Roman"/>
          <w:sz w:val="24"/>
          <w:szCs w:val="24"/>
        </w:rPr>
        <w:t>From the results of the Computer-Based National Assessment in 2021</w:t>
      </w:r>
      <w:r w:rsidR="00B40605"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rPr>
        <w:t>The school obtained a score of 1.82 in the field of numeracy, from the minimum competency with a range of 1.80 – 2.09</w:t>
      </w:r>
      <w:r w:rsidR="00CD3631" w:rsidRPr="00962996">
        <w:rPr>
          <w:rFonts w:ascii="Times New Roman" w:hAnsi="Times New Roman" w:cs="Times New Roman"/>
          <w:sz w:val="24"/>
          <w:szCs w:val="24"/>
        </w:rPr>
        <w:t xml:space="preserve">. </w:t>
      </w:r>
      <w:r w:rsidRPr="00962996">
        <w:rPr>
          <w:rFonts w:ascii="Times New Roman" w:hAnsi="Times New Roman" w:cs="Times New Roman"/>
          <w:sz w:val="24"/>
          <w:szCs w:val="24"/>
        </w:rPr>
        <w:t>These results show that students' numeracy skills are still lacking even though they have reached the minimum competency</w:t>
      </w:r>
      <w:r w:rsidR="00CD3631" w:rsidRPr="00962996">
        <w:rPr>
          <w:rFonts w:ascii="Times New Roman" w:hAnsi="Times New Roman" w:cs="Times New Roman"/>
          <w:sz w:val="24"/>
          <w:szCs w:val="24"/>
        </w:rPr>
        <w:t xml:space="preserve">, </w:t>
      </w:r>
      <w:r w:rsidRPr="00962996">
        <w:rPr>
          <w:rFonts w:ascii="Times New Roman" w:hAnsi="Times New Roman" w:cs="Times New Roman"/>
          <w:sz w:val="24"/>
          <w:szCs w:val="24"/>
        </w:rPr>
        <w:t>and only 40% of students have achieved basic competencies</w:t>
      </w:r>
      <w:r w:rsidR="00232A41" w:rsidRPr="00962996">
        <w:rPr>
          <w:rFonts w:ascii="Times New Roman" w:hAnsi="Times New Roman" w:cs="Times New Roman"/>
          <w:sz w:val="24"/>
          <w:szCs w:val="24"/>
          <w:lang w:val="en-US"/>
        </w:rPr>
        <w:t>.</w:t>
      </w:r>
      <w:r w:rsidR="00CD3631" w:rsidRPr="00962996">
        <w:rPr>
          <w:rFonts w:ascii="Times New Roman" w:hAnsi="Times New Roman" w:cs="Times New Roman"/>
          <w:sz w:val="24"/>
          <w:szCs w:val="24"/>
        </w:rPr>
        <w:t xml:space="preserve"> </w:t>
      </w:r>
      <w:r w:rsidRPr="00962996">
        <w:rPr>
          <w:rFonts w:ascii="Times New Roman" w:hAnsi="Times New Roman" w:cs="Times New Roman"/>
          <w:sz w:val="24"/>
          <w:szCs w:val="24"/>
          <w:lang w:val="en-US"/>
        </w:rPr>
        <w:t>While there are 2.52% of students who are under the basic competencies and require special handling.</w:t>
      </w:r>
    </w:p>
    <w:p w:rsidR="007F7C5D"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lastRenderedPageBreak/>
        <w:t>The condition of students' low mathematics performance is cause for concern</w:t>
      </w:r>
      <w:r w:rsidR="00CD3631" w:rsidRPr="00962996">
        <w:rPr>
          <w:rFonts w:ascii="Times New Roman" w:hAnsi="Times New Roman" w:cs="Times New Roman"/>
          <w:sz w:val="24"/>
          <w:szCs w:val="24"/>
        </w:rPr>
        <w:t xml:space="preserve">. </w:t>
      </w:r>
      <w:r w:rsidRPr="00962996">
        <w:rPr>
          <w:rFonts w:ascii="Times New Roman" w:hAnsi="Times New Roman" w:cs="Times New Roman"/>
          <w:sz w:val="24"/>
          <w:szCs w:val="24"/>
        </w:rPr>
        <w:t>Because mathematics is one of the most important sciences which supports various aspects of life</w:t>
      </w:r>
      <w:r w:rsidR="000314F3" w:rsidRPr="00962996">
        <w:rPr>
          <w:rFonts w:ascii="Times New Roman" w:hAnsi="Times New Roman" w:cs="Times New Roman"/>
          <w:sz w:val="24"/>
          <w:szCs w:val="24"/>
          <w:lang w:val="en-US"/>
        </w:rPr>
        <w:t xml:space="preserve"> (e.g., being part of the skill development required in the current modern society)</w:t>
      </w:r>
      <w:r w:rsidRPr="00962996">
        <w:rPr>
          <w:rFonts w:ascii="Times New Roman" w:hAnsi="Times New Roman" w:cs="Times New Roman"/>
          <w:sz w:val="24"/>
          <w:szCs w:val="24"/>
        </w:rPr>
        <w:t>, and has a connection with various other disciplines</w:t>
      </w:r>
      <w:r w:rsidRPr="00962996">
        <w:rPr>
          <w:rFonts w:ascii="Times New Roman" w:hAnsi="Times New Roman" w:cs="Times New Roman"/>
          <w:sz w:val="24"/>
          <w:szCs w:val="24"/>
          <w:lang w:val="en-US"/>
        </w:rPr>
        <w:t xml:space="preserve"> </w:t>
      </w:r>
      <w:r w:rsidR="00723F77" w:rsidRPr="00962996">
        <w:rPr>
          <w:rFonts w:ascii="Times New Roman" w:hAnsi="Times New Roman" w:cs="Times New Roman"/>
          <w:sz w:val="24"/>
          <w:szCs w:val="24"/>
        </w:rPr>
        <w:fldChar w:fldCharType="begin" w:fldLock="1"/>
      </w:r>
      <w:r w:rsidR="0096393E" w:rsidRPr="00962996">
        <w:rPr>
          <w:rFonts w:ascii="Times New Roman" w:hAnsi="Times New Roman" w:cs="Times New Roman"/>
          <w:sz w:val="24"/>
          <w:szCs w:val="24"/>
        </w:rPr>
        <w:instrText>ADDIN CSL_CITATION {"citationItems":[{"id":"ITEM-1","itemData":{"DOI":"10.1063/1.4995153","ISBN":"9780735415485","ISSN":"15517616","abstract":"One of purposes of this study was to describe the solution profile of the junior high school students for the PISA adaptation test. The procedures conducted by researchers to achieve this objective were (1) adapting the PISA test, (2) validating the adapting PISA test, (3) asking junior high school students to do the adapting PISA test, and (4) making the students’ solution profile. The PISA problems for mathematics could be classified into four areas, namely quantity, space and shape, change and relationship, and uncertainty. The research results that would be presented in this paper were the result test for uncertainty problems. In the adapting PISA test, there were fifteen questions. Subjects in this study were 18 students from 11 junior high schools in Yogyakarta, Central Java, and Banten. The type of research that used by the researchers was a qualitative research. For the first uncertainty problem in the adapting test, 66.67% of students reached level 3. For the second uncertainty problem in the adapting test, 44.44% of students achieved level 4, and 33.33% of students reached level 3. For the third uncertainty problem in the adapting test n, 38.89% of students achieved level 5, 11.11% of students reached level 4, and 5.56% of students achieved level 3. For the part a of the fourth uncertainty problem in the adapting test, 72.22% of students reached level 4 and for the part b of the fourth uncertainty problem in the adapting test, 83.33% students achieved level 4","author":[{"dropping-particle":"","family":"Julie","given":"Hongki","non-dropping-particle":"","parse-names":false,"suffix":""},{"dropping-particle":"","family":"Sanjaya","given":"Febi","non-dropping-particle":"","parse-names":false,"suffix":""},{"dropping-particle":"","family":"Anggoro","given":"Ant Yudhi","non-dropping-particle":"","parse-names":false,"suffix":""}],"container-title":"The 4th International Conference on Research, Implementation, and Education of Mathematics and Science (4th ICRIEMS)","id":"ITEM-1","issued":{"date-parts":[["2017"]]},"page":"1-10","publisher":"AIP Publishing","publisher-place":"Sleman","title":"The students' ability in the mathematical literacy for uncertainty problems on the pisa adaptation test","type":"paper-conference","volume":"1868"},"uris":["http://www.mendeley.com/documents/?uuid=1d80b23f-34db-4ebb-80fa-8fcd30aef5e1"]},{"id":"ITEM-2","itemData":{"DOI":"10.1088/1742-6596/1157/4/042088","ISSN":"17426596","abstract":"In the 21st century, the problems encountered in the daily life are increasingly difficult and complicated. It is important for each individual to know and understand the role of mathematics in real life so that the individual is able to appropriately evaluate and consider the use of mathematics for meeting the needs of being a society member who is constructive, caring, and willing to think. This skill is called mathematical literacy skill. This article reviewed seven articles which focus on what competencies indicate that students have mathematical literacy. The competencies consist of mathematical thinking and reasoning, mathematical argumentation, mathematical communication, modelling, problem posing and solving, representation, symbols, and tools and technology. This article aims to describe the mathematical literacy importance to other researchers, teachers, or preservice mathematics teachers on in researches or mathematics learning processes.","author":[{"dropping-particle":"","family":"Rizki","given":"L. M.","non-dropping-particle":"","parse-names":false,"suffix":""},{"dropping-particle":"","family":"Priatna","given":"N.","non-dropping-particle":"","parse-names":false,"suffix":""}],"container-title":"Journal of Physics: Conference Series","id":"ITEM-2","issue":"4","issued":{"date-parts":[["2019"]]},"page":"1-5","publisher":"IOP Publishing Ltd","publisher-place":"Bandung","title":"Mathematical literacy as the 21st century skill","type":"paper-conference","volume":"1157"},"uris":["http://www.mendeley.com/documents/?uuid=a574c488-4504-41cc-ba9c-80c206df1e38"]},{"id":"ITEM-3","itemData":{"ISSN":"2579-9258","abstract":"The purpose of this study is to determine the difficulties experienced by student in solving rectangular and triangular problems. The subjects in this study were students of class VIII in one of the 19 junior high schools in Cianjur. The method used is descriptive qualitative method. The questions used in analyzing the difficulties in rectangular and triangular matter are problems adopted from existing problems. From the results of the analysis of research data it can be concluded that the difficulties experienced by students in general are difficulty understanding the concepts of quadrilateral and triangles, difficulty digesting mathematical language, difficulty determining strategy and difficulty in carrying out mathematical procedures. The factors that cause students to experience difficulty in solving math problems are the existence of wrong views of mathemstics, lack of curiosity, and lack of student understanding. In learning mathematics the teacher should not only see what difficulties are experienced by students but see what factors are causing them, so that students’ difficulties can be overcome.","author":[{"dropping-particle":"","family":"Sumiati","given":"Aji","non-dropping-particle":"","parse-names":false,"suffix":""},{"dropping-particle":"","family":"Agustini","given":"Yenni","non-dropping-particle":"","parse-names":false,"suffix":""}],"container-title":"Jurnal Cendekia: Jurnal Pendidikan Matematika","id":"ITEM-3","issue":"1","issued":{"date-parts":[["2020"]]},"page":"321-330","title":"Analisis kesulitan menyelesaikan soal segi empat dan segitiga siswa smp kelas viii di cianjur","type":"article-journal","volume":"4"},"uris":["http://www.mendeley.com/documents/?uuid=847fa5ba-6140-491f-9973-af3bb8c75bba"]}],"mendeley":{"formattedCitation":"(Julie et al., 2017; Rizki &amp; Priatna, 2019; Sumiati &amp; Agustini, 2020)","plainTextFormattedCitation":"(Julie et al., 2017; Rizki &amp; Priatna, 2019; Sumiati &amp; Agustini, 2020)","previouslyFormattedCitation":"(Julie et al., 2017; Rizki &amp; Priatna, 2019; Sumiati &amp; Agustini, 2020)"},"properties":{"noteIndex":0},"schema":"https://github.com/citation-style-language/schema/raw/master/csl-citation.json"}</w:instrText>
      </w:r>
      <w:r w:rsidR="00723F77" w:rsidRPr="00962996">
        <w:rPr>
          <w:rFonts w:ascii="Times New Roman" w:hAnsi="Times New Roman" w:cs="Times New Roman"/>
          <w:sz w:val="24"/>
          <w:szCs w:val="24"/>
        </w:rPr>
        <w:fldChar w:fldCharType="separate"/>
      </w:r>
      <w:r w:rsidR="00723F77" w:rsidRPr="00962996">
        <w:rPr>
          <w:rFonts w:ascii="Times New Roman" w:hAnsi="Times New Roman" w:cs="Times New Roman"/>
          <w:noProof/>
          <w:sz w:val="24"/>
          <w:szCs w:val="24"/>
        </w:rPr>
        <w:t>(Julie et al., 2017; Rizki &amp; Priatna, 2019; Sumiati &amp; Agustini, 2020)</w:t>
      </w:r>
      <w:r w:rsidR="00723F77" w:rsidRPr="00962996">
        <w:rPr>
          <w:rFonts w:ascii="Times New Roman" w:hAnsi="Times New Roman" w:cs="Times New Roman"/>
          <w:sz w:val="24"/>
          <w:szCs w:val="24"/>
        </w:rPr>
        <w:fldChar w:fldCharType="end"/>
      </w:r>
      <w:r w:rsidR="00CD3631" w:rsidRPr="00962996">
        <w:rPr>
          <w:rFonts w:ascii="Times New Roman" w:hAnsi="Times New Roman" w:cs="Times New Roman"/>
          <w:sz w:val="24"/>
          <w:szCs w:val="24"/>
        </w:rPr>
        <w:t>.</w:t>
      </w:r>
      <w:r w:rsidRPr="00962996">
        <w:rPr>
          <w:rFonts w:ascii="Times New Roman" w:hAnsi="Times New Roman" w:cs="Times New Roman"/>
          <w:sz w:val="24"/>
          <w:szCs w:val="24"/>
          <w:lang w:val="en-US"/>
        </w:rPr>
        <w:t xml:space="preserve"> </w:t>
      </w:r>
      <w:r w:rsidR="000314F3" w:rsidRPr="00962996">
        <w:rPr>
          <w:rFonts w:ascii="Times New Roman" w:hAnsi="Times New Roman" w:cs="Times New Roman"/>
          <w:sz w:val="24"/>
          <w:szCs w:val="24"/>
          <w:lang w:val="en-US"/>
        </w:rPr>
        <w:t>Therefore, it is necessary to find out what factors play the most role in influencing students' mathematics performance, so it can be used as a basis for reference in finding the right solution to improve students' low mathematics performance</w:t>
      </w:r>
      <w:r w:rsidR="00B40605" w:rsidRPr="00962996">
        <w:rPr>
          <w:rFonts w:ascii="Times New Roman" w:hAnsi="Times New Roman" w:cs="Times New Roman"/>
          <w:sz w:val="24"/>
          <w:szCs w:val="24"/>
          <w:lang w:val="en-US"/>
        </w:rPr>
        <w:t>.</w:t>
      </w:r>
      <w:r w:rsidR="00850ED6" w:rsidRPr="00962996">
        <w:rPr>
          <w:rFonts w:ascii="Times New Roman" w:hAnsi="Times New Roman" w:cs="Times New Roman"/>
          <w:sz w:val="24"/>
          <w:szCs w:val="24"/>
          <w:lang w:val="en-US"/>
        </w:rPr>
        <w:t xml:space="preserve"> </w:t>
      </w:r>
    </w:p>
    <w:p w:rsidR="001767E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Several factors are often mentioned in influencing students' math</w:t>
      </w:r>
      <w:r w:rsidRPr="00962996">
        <w:rPr>
          <w:rFonts w:ascii="Times New Roman" w:hAnsi="Times New Roman" w:cs="Times New Roman"/>
          <w:sz w:val="24"/>
          <w:szCs w:val="24"/>
          <w:lang w:val="en-US"/>
        </w:rPr>
        <w:t>ematics</w:t>
      </w:r>
      <w:r w:rsidRPr="00962996">
        <w:rPr>
          <w:rFonts w:ascii="Times New Roman" w:hAnsi="Times New Roman" w:cs="Times New Roman"/>
          <w:sz w:val="24"/>
          <w:szCs w:val="24"/>
        </w:rPr>
        <w:t xml:space="preserve"> performance</w:t>
      </w:r>
      <w:r w:rsidR="007F7C5D" w:rsidRPr="00962996">
        <w:rPr>
          <w:rFonts w:ascii="Times New Roman" w:hAnsi="Times New Roman" w:cs="Times New Roman"/>
          <w:sz w:val="24"/>
          <w:szCs w:val="24"/>
          <w:lang w:val="en-US"/>
        </w:rPr>
        <w:t xml:space="preserve">. </w:t>
      </w:r>
      <w:r w:rsidR="00734111" w:rsidRPr="00962996">
        <w:rPr>
          <w:rFonts w:ascii="Times New Roman" w:hAnsi="Times New Roman" w:cs="Times New Roman"/>
          <w:sz w:val="24"/>
          <w:szCs w:val="24"/>
          <w:lang w:val="en-US"/>
        </w:rPr>
        <w:t xml:space="preserve">Prior research states that Math anxiety is negatively correlated with students' mathematics performance. </w:t>
      </w:r>
      <w:r w:rsidR="0096393E" w:rsidRPr="00962996">
        <w:rPr>
          <w:rFonts w:ascii="Times New Roman" w:hAnsi="Times New Roman" w:cs="Times New Roman"/>
          <w:sz w:val="24"/>
          <w:szCs w:val="24"/>
          <w:lang w:val="en-US"/>
        </w:rPr>
        <w:fldChar w:fldCharType="begin" w:fldLock="1"/>
      </w:r>
      <w:r w:rsidR="004D4770" w:rsidRPr="00962996">
        <w:rPr>
          <w:rFonts w:ascii="Times New Roman" w:hAnsi="Times New Roman" w:cs="Times New Roman"/>
          <w:sz w:val="24"/>
          <w:szCs w:val="24"/>
          <w:lang w:val="en-US"/>
        </w:rPr>
        <w:instrText>ADDIN CSL_CITATION {"citationItems":[{"id":"ITEM-1","itemData":{"DOI":"10.3389/fpsyg.2021.798090","ISSN":"16641078","abstract":"It is well established that math anxiety has a negative relationship with math performance (MP). A few theories have provided explanations for this relationship. One of them, the Attentional Control Theory (ACT), suggests that anxiety can negatively impact the attentional control system and increase one's attention to threat-related stimuli. Within the ACT framework, the math anxiety (MA)—working memory (WM) relationship is argued to be critical for math performance. The present meta-analyses provides insights into the mechanisms of the MA—MP relation and the mediating role of WM. Through database searches with pre-determined search strings, 1,346 unique articles were identified. After excluding non-relevant studies, data from 57 studies and 150 effect sizes were used for investigating the MA—MP correlation using a random-effects model. This resulted in a mean correlation of r = −0.168. The database search of WM as a mediator for the MA—MP relation revealed 15 effects sizes leading to a descriptive rather than a generalizable statistic, with a mean indirect effect size of −0.092. Overall, the results confirm the ACT theory, WM does play a significant role in the MA—MP relationship.","author":[{"dropping-particle":"","family":"Finell","given":"Jonatan","non-dropping-particle":"","parse-names":false,"suffix":""},{"dropping-particle":"","family":"Sammallahti","given":"Ellen","non-dropping-particle":"","parse-names":false,"suffix":""},{"dropping-particle":"","family":"Korhonen","given":"Johan","non-dropping-particle":"","parse-names":false,"suffix":""},{"dropping-particle":"","family":"Eklöf","given":"Hanna","non-dropping-particle":"","parse-names":false,"suffix":""},{"dropping-particle":"","family":"Jonsson","given":"Bert","non-dropping-particle":"","parse-names":false,"suffix":""}],"container-title":"Frontiers in Psychology","id":"ITEM-1","issue":"798090","issued":{"date-parts":[["2022"]]},"page":"1-14","title":"Working memory and its mediating role on the relationship of math anxiety and math performance: a meta-analysis","type":"article-journal","volume":"12"},"uris":["http://www.mendeley.com/documents/?uuid=5fba6141-a8cc-4945-b98e-c6b8b2c50c82"]},{"id":"ITEM-2","itemData":{"DOI":"10.2147/PRBM.S141421","ISSN":"11791578","abstract":"Anxiety disorders are some of the most widespread mental health issues worldwide. In educational settings, individuals may suffer from specific forms of test and performance anxiety that are connected to a knowledge domain. Unquestionably, the most prominent of these is math anxiety. Math anxiety is a widespread problem for all ages across the globe. In the international assessments of the Programme for International Student Assessment (PISA) studies, a majority of adolescents report worry and tension in math classes and when doing math. To understand how math anxiety takes effect, it has to be regarded as a variable within an ensemble of interacting variables. There are antecedents that facilitate the development of math anxiety. They concern environmental factors such as teachers’ and parents’ attitudes toward their students’ and children’s ability in math, societal stereotypes (eg, on females’ math abilities), or personal factors such as traits or gender. These antecedents influence a number of variables that are important in learning processes. Math anxiety interacts with variables such as self-efficacy or motivation in math, which can intensify or counteract math anxiety. Outcomes of math anxiety concern not only performance in math-related situations, they can also have long-term effects that involve efficient (or not-so-efficient) learning as well as course and even vocational choices. How can math anxiety be counteracted? A first step lies in its correct diagnosis. Questionnaires for the assessment of math anxiety exist for all age groups, starting at primary education level. Help against math anxiety can be offered on different levels: by educational institutions, by teachers and a change in instructional approaches, by parents, or by the affected person. However, much more research is needed to develop effective measures against math anxiety that are tailored to an individual’s characteristics and needs.","author":[{"dropping-particle":"","family":"Luttenberger","given":"Silke","non-dropping-particle":"","parse-names":false,"suffix":""},{"dropping-particle":"","family":"Wimmer","given":"Sigrid","non-dropping-particle":"","parse-names":false,"suffix":""},{"dropping-particle":"","family":"Paechter","given":"Manuela","non-dropping-particle":"","parse-names":false,"suffix":""}],"container-title":"Psychology Research and Behavior Management","id":"ITEM-2","issued":{"date-parts":[["2018"]]},"note":"Luttenberger S, Wimmer S, Paechter M. Spotlight on math anxiety. Psychol Res Behav Manag. 2018;11:311-322 https://doi.org/10.2147/PRBM.S141421","page":"311-322","title":"Spotlight on math anxiety","type":"article-journal","volume":"11"},"uris":["http://www.mendeley.com/documents/?uuid=85649f43-f9d5-45d5-9cd1-d30893307716"]},{"id":"ITEM-3","itemData":{"DOI":"10.3389/fpsyg.2019.01613","ISSN":"16641078","abstract":"Math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Psychology","id":"ITEM-3","issue":"1613","issued":{"date-parts":[["2019"]]},"page":"1-17","title":"The relationship between math anxiety and math performance: A meta-analytic investigation","type":"article-journal","volume":"10"},"uris":["http://www.mendeley.com/documents/?uuid=d6cfa51b-062a-46af-b469-3c15599d8403"]}],"mendeley":{"formattedCitation":"(Finell et al., 2022; Luttenberger et al., 2018; J. Zhang et al., 2019)","plainTextFormattedCitation":"(Finell et al., 2022; Luttenberger et al., 2018; J. Zhang et al., 2019)","previouslyFormattedCitation":"(Finell et al., 2022; Luttenberger et al., 2018; J. Zhang et al., 2019)"},"properties":{"noteIndex":0},"schema":"https://github.com/citation-style-language/schema/raw/master/csl-citation.json"}</w:instrText>
      </w:r>
      <w:r w:rsidR="0096393E" w:rsidRPr="00962996">
        <w:rPr>
          <w:rFonts w:ascii="Times New Roman" w:hAnsi="Times New Roman" w:cs="Times New Roman"/>
          <w:sz w:val="24"/>
          <w:szCs w:val="24"/>
          <w:lang w:val="en-US"/>
        </w:rPr>
        <w:fldChar w:fldCharType="separate"/>
      </w:r>
      <w:r w:rsidR="0096393E" w:rsidRPr="00962996">
        <w:rPr>
          <w:rFonts w:ascii="Times New Roman" w:hAnsi="Times New Roman" w:cs="Times New Roman"/>
          <w:noProof/>
          <w:sz w:val="24"/>
          <w:szCs w:val="24"/>
          <w:lang w:val="en-US"/>
        </w:rPr>
        <w:t>(Finell et al., 2022; Luttenberger et al., 2018; J. Zhang et al., 2019)</w:t>
      </w:r>
      <w:r w:rsidR="0096393E" w:rsidRPr="00962996">
        <w:rPr>
          <w:rFonts w:ascii="Times New Roman" w:hAnsi="Times New Roman" w:cs="Times New Roman"/>
          <w:sz w:val="24"/>
          <w:szCs w:val="24"/>
          <w:lang w:val="en-US"/>
        </w:rPr>
        <w:fldChar w:fldCharType="end"/>
      </w:r>
      <w:r w:rsidR="007F7C5D" w:rsidRPr="00962996">
        <w:rPr>
          <w:rFonts w:ascii="Times New Roman" w:hAnsi="Times New Roman" w:cs="Times New Roman"/>
          <w:sz w:val="24"/>
          <w:szCs w:val="24"/>
          <w:lang w:val="en-US"/>
        </w:rPr>
        <w:t xml:space="preserve">. </w:t>
      </w:r>
      <w:r w:rsidR="00734111" w:rsidRPr="00962996">
        <w:rPr>
          <w:rFonts w:ascii="Times New Roman" w:hAnsi="Times New Roman" w:cs="Times New Roman"/>
          <w:sz w:val="24"/>
          <w:szCs w:val="24"/>
          <w:lang w:val="en-US"/>
        </w:rPr>
        <w:t xml:space="preserve">Whereas in other studies, it was mentioned that math self-efficacy also influences students' mathematics performance </w:t>
      </w:r>
      <w:r w:rsidR="0096393E" w:rsidRPr="00962996">
        <w:rPr>
          <w:rFonts w:ascii="Times New Roman" w:hAnsi="Times New Roman" w:cs="Times New Roman"/>
          <w:sz w:val="24"/>
          <w:szCs w:val="24"/>
          <w:lang w:val="en-US"/>
        </w:rPr>
        <w:fldChar w:fldCharType="begin" w:fldLock="1"/>
      </w:r>
      <w:r w:rsidR="0096393E" w:rsidRPr="00962996">
        <w:rPr>
          <w:rFonts w:ascii="Times New Roman" w:hAnsi="Times New Roman" w:cs="Times New Roman"/>
          <w:sz w:val="24"/>
          <w:szCs w:val="24"/>
          <w:lang w:val="en-US"/>
        </w:rPr>
        <w:instrText>ADDIN CSL_CITATION {"citationItems":[{"id":"ITEM-1","itemData":{"DOI":"10.18844/cjes.v14i2.3766","abstract":"This study investigated secondary school sixth, seventh and eighth graders’ self-efficacy beliefs, engagement and disaffection in Math lessons and academic achievement in relation to learning Mathematics and Math performance. The study was conducted with the voluntary participation of 651 sixth, seventh and eighth graders attending secondary school. Research data were collected with the help of ‘Engagement and Disaffection Scale’, ‘Self-Efficacy sub dimension’ of ‘Motivation Scale’ related to learning and performance and students’ Math first semester grades. It was identified in the study that students’ self-efficacy beliefs in learning and performance in Math significantly and positively predicted their Math achievement. Behavioural and affective disaffection in Math lessons were found to predict Math achievement negatively. It was determined in the study that students’ self-efficacy beliefs related to learning and performance in Math significantly predicted their behavioural and affective engagement in Math positively while predicting their behavioural and affective disaffection negatively.","author":[{"dropping-particle":"","family":"Ozkal","given":"Nese","non-dropping-particle":"","parse-names":false,"suffix":""}],"container-title":"Cypriot Journal of Educational Sciences","id":"ITEM-1","issue":"2","issued":{"date-parts":[["2019"]]},"page":"190-200","title":"Relationships between self-efficacy beliefs, enggagement and academic performance in math lessons","type":"article-journal","volume":"14"},"uris":["http://www.mendeley.com/documents/?uuid=7710f921-7a32-4881-b2eb-a352159557b8"]},{"id":"ITEM-2","itemData":{"DOI":"10.1016/j.lindif.2018.01.008","ISSN":"18733425","abstract":"Academic self-efficacy is widely accepted as being both the cause and effect of academic achievement. However, empirical research using longitudinal data and domain-specific assessments is scarce and seems to be completely absent in domains other than mathematics. We drew on a sample of N = 1597 secondary school students in Germany and 2 measurement occasions within 1 school year to test for reciprocal effects between self-efficacy and achievement in the domains of mathematics and reading. Despite high stabilities of achievement and self-efficacy, structural equation modeling revealed positive effects of mathematics self-efficacy on later mathematics achievement and of reading achievement on later reading self-efficacy. Evidence for reciprocal effects resulted in the domain of reading from separately considering students with and without a migration background in multiple group models. The findings highlight the necessity of early interventions and a domain-specific approach.","author":[{"dropping-particle":"","family":"Schöber","given":"Christian","non-dropping-particle":"","parse-names":false,"suffix":""},{"dropping-particle":"","family":"Schütte","given":"Kerstin","non-dropping-particle":"","parse-names":false,"suffix":""},{"dropping-particle":"","family":"Köller","given":"Olaf","non-dropping-particle":"","parse-names":false,"suffix":""},{"dropping-particle":"","family":"McElvany","given":"Nele","non-dropping-particle":"","parse-names":false,"suffix":""},{"dropping-particle":"","family":"Gebauer","given":"Miriam M.","non-dropping-particle":"","parse-names":false,"suffix":""}],"container-title":"Learning and Individual Differences","id":"ITEM-2","issued":{"date-parts":[["2018"]]},"page":"1-11","title":"Reciprocal effects between self-efficacy and achievement in mathematics and reading","type":"article-journal","volume":"63"},"uris":["http://www.mendeley.com/documents/?uuid=bde64540-c7fc-4f19-8b7c-9fe1c9425ea6"]}],"mendeley":{"formattedCitation":"(Ozkal, 2019; Schöber et al., 2018)","plainTextFormattedCitation":"(Ozkal, 2019; Schöber et al., 2018)","previouslyFormattedCitation":"(Ozkal, 2019; Schöber et al., 2018)"},"properties":{"noteIndex":0},"schema":"https://github.com/citation-style-language/schema/raw/master/csl-citation.json"}</w:instrText>
      </w:r>
      <w:r w:rsidR="0096393E" w:rsidRPr="00962996">
        <w:rPr>
          <w:rFonts w:ascii="Times New Roman" w:hAnsi="Times New Roman" w:cs="Times New Roman"/>
          <w:sz w:val="24"/>
          <w:szCs w:val="24"/>
          <w:lang w:val="en-US"/>
        </w:rPr>
        <w:fldChar w:fldCharType="separate"/>
      </w:r>
      <w:r w:rsidR="0096393E" w:rsidRPr="00962996">
        <w:rPr>
          <w:rFonts w:ascii="Times New Roman" w:hAnsi="Times New Roman" w:cs="Times New Roman"/>
          <w:noProof/>
          <w:sz w:val="24"/>
          <w:szCs w:val="24"/>
          <w:lang w:val="en-US"/>
        </w:rPr>
        <w:t>(Ozkal, 2019; Schöber et al., 2018)</w:t>
      </w:r>
      <w:r w:rsidR="0096393E" w:rsidRPr="00962996">
        <w:rPr>
          <w:rFonts w:ascii="Times New Roman" w:hAnsi="Times New Roman" w:cs="Times New Roman"/>
          <w:sz w:val="24"/>
          <w:szCs w:val="24"/>
          <w:lang w:val="en-US"/>
        </w:rPr>
        <w:fldChar w:fldCharType="end"/>
      </w:r>
      <w:r w:rsidR="0060535D" w:rsidRPr="00962996">
        <w:rPr>
          <w:rFonts w:ascii="Times New Roman" w:hAnsi="Times New Roman" w:cs="Times New Roman"/>
          <w:sz w:val="24"/>
          <w:szCs w:val="24"/>
          <w:lang w:val="en-US"/>
        </w:rPr>
        <w:t>.</w:t>
      </w:r>
      <w:r w:rsidR="00610270" w:rsidRPr="00962996">
        <w:rPr>
          <w:rFonts w:ascii="Times New Roman" w:hAnsi="Times New Roman" w:cs="Times New Roman"/>
          <w:sz w:val="24"/>
          <w:szCs w:val="24"/>
          <w:lang w:val="en-US"/>
        </w:rPr>
        <w:t xml:space="preserve"> </w:t>
      </w:r>
    </w:p>
    <w:p w:rsidR="00C62D36"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Furthermore, previous research has found a reciprocal relationship between math anxiety and math self-efficacy </w:t>
      </w:r>
      <w:r w:rsidR="0096393E" w:rsidRPr="00962996">
        <w:rPr>
          <w:rFonts w:ascii="Times New Roman" w:hAnsi="Times New Roman" w:cs="Times New Roman"/>
          <w:sz w:val="24"/>
          <w:szCs w:val="24"/>
          <w:lang w:val="en-US"/>
        </w:rPr>
        <w:fldChar w:fldCharType="begin" w:fldLock="1"/>
      </w:r>
      <w:r w:rsidR="0096393E" w:rsidRPr="00962996">
        <w:rPr>
          <w:rFonts w:ascii="Times New Roman" w:hAnsi="Times New Roman" w:cs="Times New Roman"/>
          <w:sz w:val="24"/>
          <w:szCs w:val="24"/>
          <w:lang w:val="en-US"/>
        </w:rPr>
        <w:instrText>ADDIN CSL_CITATION {"citationItems":[{"id":"ITEM-1","itemData":{"DOI":"10.31289/analitika.v11i2.2878","abstract":"International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(ANALITIKA)","id":"ITEM-1","issue":"2","issued":{"date-parts":[["2019"]]},"page":"126-136","title":"Pengaruh math self-efficacy dan math anxiety terhadap performansi matematika pada siswa kelas v sd","type":"article-journal","volume":"11"},"uris":["http://www.mendeley.com/documents/?uuid=c2a01fc6-bed7-4395-ac40-38f8535ef0f4"]},{"id":"ITEM-2","itemData":{"DOI":"10.1016/j.lindif.2021.102060","ISSN":"18733425","abstract":"The present study examined the reciprocal relations among mathematics interest (MI), mathematics anxiety (MA), mathematics self-efficacy (MSE) and mathematics achievement of primary school students. Based on longitudinal data from 2789 participants, general latent variable modeling framework was used to explore reciprocal effects. The results indicated that (a) prior mathematics achievement positively predicted later MI, whereas previous MI did not affect subsequent mathematics achievement; (b) there was a bidirectional relationship between MA and mathematics achievement as well as MSE and mathematics achievement; (c) prior MA and MSE significantly predicted later MI, whereas the opposite was not; and (d) MA and MSE were reciprocally linked over time. These research results emphasized the importance of developing students' positive mathematical attitudes, emotions and beliefs and shed light on primary school students' mathematics learning in China.","author":[{"dropping-particle":"","family":"Du","given":"Changhong","non-dropping-particle":"","parse-names":false,"suffix":""},{"dropping-particle":"","family":"Qin","given":"Kexin","non-dropping-particle":"","parse-names":false,"suffix":""},{"dropping-particle":"","family":"Wang","given":"Yehui","non-dropping-particle":"","parse-names":false,"suffix":""},{"dropping-particle":"","family":"Xin","given":"Tao","non-dropping-particle":"","parse-names":false,"suffix":""}],"container-title":"Learning and Individual Differences","id":"ITEM-2","issue":"102060","issued":{"date-parts":[["2021"]]},"page":"1-8","publisher":"Elsevier Inc.","title":"Mathematics interest, anxiety, self-efficacy and achievement: Examining reciprocal relations","type":"article-journal","volume":"91"},"uris":["http://www.mendeley.com/documents/?uuid=abf00351-dd77-4ec3-8dc2-d3a896f7dc75"]},{"id":"ITEM-3","itemData":{"DOI":"10.3389/fpsyg.2019.01721","ISSN":"16641078","abstract":"The goal of the current study is to examine the direct and indirect influences of parenting styles, math self-efficacy and the participants' sex on math anxiety. The research population included N=204 randomly selected participants, whose native language is Hebrew and were born in Israel. The participants filled out four measures that served as the research tools; a demographic questionnaire, a math anxiety questionnaire, a parenting style questionnaire about the mother of the child, and a math self-efficacy questionnaire. The research data concluded that there were strong correlations between the Authoritarian parenting style and math anxiety. The Authoritative parenting style had both a direct positive correlation and an indirect negative correlation on math anxiety. This is in contrast to the permissive parenting style which was exclusively found to have small positive correlation on math anxiety. The participant's sex had both direct and indirect influences on math anxiety. Math anxiety levels, as well as the negative effects of self-efficacy on the level of math anxiety, were higher in females compared to males. These findings are relevant when considering methods of diagnosis and intervention surrounding math anxiety; increased math anxiety in females suggests that they should have increased instances of diagnosis and intervention.","author":[{"dropping-particle":"","family":"Macmull","given":"Moran S.","non-dropping-particle":"","parse-names":false,"suffix":""},{"dropping-particle":"","family":"Ashkenazi","given":"Sarit","non-dropping-particle":"","parse-names":false,"suffix":""}],"container-title":"Frontiers in Psychology","id":"ITEM-3","issue":"1721","issued":{"date-parts":[["2019"]]},"page":"1-12","title":"Math anxiety: The relationship between parenting style and math self-efficacy","type":"article-journal","volume":"10"},"uris":["http://www.mendeley.com/documents/?uuid=ddd342c2-f96b-46ed-9770-23d8c18bb4d8"]}],"mendeley":{"formattedCitation":"(Chandra &amp; Royanto, 2019; Du et al., 2021; Macmull &amp; Ashkenazi, 2019)","plainTextFormattedCitation":"(Chandra &amp; Royanto, 2019; Du et al., 2021; Macmull &amp; Ashkenazi, 2019)","previouslyFormattedCitation":"(Chandra &amp; Royanto, 2019; Du et al., 2021; Macmull &amp; Ashkenazi, 2019)"},"properties":{"noteIndex":0},"schema":"https://github.com/citation-style-language/schema/raw/master/csl-citation.json"}</w:instrText>
      </w:r>
      <w:r w:rsidR="0096393E" w:rsidRPr="00962996">
        <w:rPr>
          <w:rFonts w:ascii="Times New Roman" w:hAnsi="Times New Roman" w:cs="Times New Roman"/>
          <w:sz w:val="24"/>
          <w:szCs w:val="24"/>
          <w:lang w:val="en-US"/>
        </w:rPr>
        <w:fldChar w:fldCharType="separate"/>
      </w:r>
      <w:r w:rsidR="0096393E" w:rsidRPr="00962996">
        <w:rPr>
          <w:rFonts w:ascii="Times New Roman" w:hAnsi="Times New Roman" w:cs="Times New Roman"/>
          <w:noProof/>
          <w:sz w:val="24"/>
          <w:szCs w:val="24"/>
          <w:lang w:val="en-US"/>
        </w:rPr>
        <w:t>(Chandra &amp; Royanto, 2019; Du et al., 2021; Macmull &amp; Ashkenazi, 2019)</w:t>
      </w:r>
      <w:r w:rsidR="0096393E" w:rsidRPr="00962996">
        <w:rPr>
          <w:rFonts w:ascii="Times New Roman" w:hAnsi="Times New Roman" w:cs="Times New Roman"/>
          <w:sz w:val="24"/>
          <w:szCs w:val="24"/>
          <w:lang w:val="en-US"/>
        </w:rPr>
        <w:fldChar w:fldCharType="end"/>
      </w:r>
      <w:r w:rsidR="005C2521" w:rsidRPr="00962996">
        <w:rPr>
          <w:rFonts w:ascii="Times New Roman" w:hAnsi="Times New Roman" w:cs="Times New Roman"/>
          <w:sz w:val="24"/>
          <w:szCs w:val="24"/>
          <w:lang w:val="en-US"/>
        </w:rPr>
        <w:t xml:space="preserve">. </w:t>
      </w:r>
      <w:r w:rsidR="00024DF9" w:rsidRPr="00962996">
        <w:rPr>
          <w:rFonts w:ascii="Times New Roman" w:hAnsi="Times New Roman" w:cs="Times New Roman"/>
          <w:sz w:val="24"/>
          <w:szCs w:val="24"/>
          <w:lang w:val="en-US"/>
        </w:rPr>
        <w:t xml:space="preserve">Additionally, </w:t>
      </w:r>
      <w:r w:rsidR="0096393E" w:rsidRPr="00962996">
        <w:rPr>
          <w:rFonts w:ascii="Times New Roman" w:hAnsi="Times New Roman" w:cs="Times New Roman"/>
          <w:sz w:val="24"/>
          <w:szCs w:val="24"/>
          <w:lang w:val="en-US"/>
        </w:rPr>
        <w:fldChar w:fldCharType="begin" w:fldLock="1"/>
      </w:r>
      <w:r w:rsidR="0096393E" w:rsidRPr="00962996">
        <w:rPr>
          <w:rFonts w:ascii="Times New Roman" w:hAnsi="Times New Roman" w:cs="Times New Roman"/>
          <w:sz w:val="24"/>
          <w:szCs w:val="24"/>
          <w:lang w:val="en-US"/>
        </w:rPr>
        <w:instrText>ADDIN CSL_CITATION {"citationItems":[{"id":"ITEM-1","itemData":{"DOI":"10.31289/analitika.v11i2.2878","abstract":"International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(ANALITIKA)","id":"ITEM-1","issue":"2","issued":{"date-parts":[["2019"]]},"page":"126-136","title":"Pengaruh math self-efficacy dan math anxiety terhadap performansi matematika pada siswa kelas v sd","type":"article-journal","volume":"11"},"uris":["http://www.mendeley.com/documents/?uuid=c2a01fc6-bed7-4395-ac40-38f8535ef0f4"]}],"mendeley":{"formattedCitation":"(Chandra &amp; Royanto, 2019)","manualFormatting":"Chandra &amp; Royanto (2019)","plainTextFormattedCitation":"(Chandra &amp; Royanto, 2019)","previouslyFormattedCitation":"(Chandra &amp; Royanto, 2019)"},"properties":{"noteIndex":0},"schema":"https://github.com/citation-style-language/schema/raw/master/csl-citation.json"}</w:instrText>
      </w:r>
      <w:r w:rsidR="0096393E" w:rsidRPr="00962996">
        <w:rPr>
          <w:rFonts w:ascii="Times New Roman" w:hAnsi="Times New Roman" w:cs="Times New Roman"/>
          <w:sz w:val="24"/>
          <w:szCs w:val="24"/>
          <w:lang w:val="en-US"/>
        </w:rPr>
        <w:fldChar w:fldCharType="separate"/>
      </w:r>
      <w:r w:rsidR="0096393E" w:rsidRPr="00962996">
        <w:rPr>
          <w:rFonts w:ascii="Times New Roman" w:hAnsi="Times New Roman" w:cs="Times New Roman"/>
          <w:noProof/>
          <w:sz w:val="24"/>
          <w:szCs w:val="24"/>
          <w:lang w:val="en-US"/>
        </w:rPr>
        <w:t>Chandra &amp; Royanto (2019)</w:t>
      </w:r>
      <w:r w:rsidR="0096393E" w:rsidRPr="00962996">
        <w:rPr>
          <w:rFonts w:ascii="Times New Roman" w:hAnsi="Times New Roman" w:cs="Times New Roman"/>
          <w:sz w:val="24"/>
          <w:szCs w:val="24"/>
          <w:lang w:val="en-US"/>
        </w:rPr>
        <w:fldChar w:fldCharType="end"/>
      </w:r>
      <w:r w:rsidR="00024DF9" w:rsidRPr="00962996">
        <w:rPr>
          <w:rFonts w:ascii="Times New Roman" w:hAnsi="Times New Roman" w:cs="Times New Roman"/>
          <w:sz w:val="24"/>
          <w:szCs w:val="24"/>
          <w:lang w:val="en-US"/>
        </w:rPr>
        <w:t xml:space="preserve"> mentioned that math self-efficacy and math anxiety equally influence students' mathematics performance</w:t>
      </w:r>
      <w:r w:rsidR="0012264C" w:rsidRPr="00962996">
        <w:rPr>
          <w:rFonts w:ascii="Times New Roman" w:hAnsi="Times New Roman" w:cs="Times New Roman"/>
          <w:sz w:val="24"/>
          <w:szCs w:val="24"/>
          <w:lang w:val="en-US"/>
        </w:rPr>
        <w:t>,</w:t>
      </w:r>
      <w:r w:rsidR="001767EB" w:rsidRPr="00962996">
        <w:rPr>
          <w:rFonts w:ascii="Times New Roman" w:hAnsi="Times New Roman" w:cs="Times New Roman"/>
          <w:sz w:val="24"/>
          <w:szCs w:val="24"/>
          <w:lang w:val="en-US"/>
        </w:rPr>
        <w:t xml:space="preserve"> </w:t>
      </w:r>
      <w:r w:rsidR="00024DF9" w:rsidRPr="00962996">
        <w:rPr>
          <w:rFonts w:ascii="Times New Roman" w:hAnsi="Times New Roman" w:cs="Times New Roman"/>
          <w:sz w:val="24"/>
          <w:szCs w:val="24"/>
          <w:lang w:val="en-US"/>
        </w:rPr>
        <w:t>although in that study math self-efficacy had a more significant effect on math performance (0.599; p&lt;0.01) than math anxiety (-0.237; p&lt;0.01)</w:t>
      </w:r>
      <w:r w:rsidR="00BD6EEB" w:rsidRPr="00962996">
        <w:rPr>
          <w:rFonts w:ascii="Times New Roman" w:hAnsi="Times New Roman" w:cs="Times New Roman"/>
          <w:sz w:val="24"/>
          <w:szCs w:val="24"/>
          <w:lang w:val="en-US"/>
        </w:rPr>
        <w:t>.</w:t>
      </w:r>
      <w:r w:rsidR="007B5DE4" w:rsidRPr="00962996">
        <w:rPr>
          <w:rFonts w:ascii="Times New Roman" w:hAnsi="Times New Roman" w:cs="Times New Roman"/>
          <w:sz w:val="24"/>
          <w:szCs w:val="24"/>
          <w:lang w:val="en-US"/>
        </w:rPr>
        <w:t xml:space="preserve"> </w:t>
      </w:r>
      <w:r w:rsidR="00024DF9" w:rsidRPr="00962996">
        <w:rPr>
          <w:rFonts w:ascii="Times New Roman" w:hAnsi="Times New Roman" w:cs="Times New Roman"/>
          <w:sz w:val="24"/>
          <w:szCs w:val="24"/>
          <w:lang w:val="en-US"/>
        </w:rPr>
        <w:t>These results may indicate that there is a possibility that math self-efficacy mediates the relationship between math anxiety and mathematics performance</w:t>
      </w:r>
      <w:r w:rsidRPr="00962996">
        <w:rPr>
          <w:rFonts w:ascii="Times New Roman" w:hAnsi="Times New Roman" w:cs="Times New Roman"/>
          <w:sz w:val="24"/>
          <w:szCs w:val="24"/>
          <w:lang w:val="en-US"/>
        </w:rPr>
        <w:t xml:space="preserve">, such as the research of </w:t>
      </w:r>
      <w:r w:rsidR="0096393E" w:rsidRPr="00962996">
        <w:rPr>
          <w:rFonts w:ascii="Times New Roman" w:hAnsi="Times New Roman" w:cs="Times New Roman"/>
          <w:sz w:val="24"/>
          <w:szCs w:val="24"/>
          <w:lang w:val="en-US"/>
        </w:rPr>
        <w:fldChar w:fldCharType="begin" w:fldLock="1"/>
      </w:r>
      <w:r w:rsidR="004D4770" w:rsidRPr="00962996">
        <w:rPr>
          <w:rFonts w:ascii="Times New Roman" w:hAnsi="Times New Roman" w:cs="Times New Roman"/>
          <w:sz w:val="24"/>
          <w:szCs w:val="24"/>
          <w:lang w:val="en-US"/>
        </w:rPr>
        <w:instrText>ADDIN CSL_CITATION {"citationItems":[{"id":"ITEM-1","itemData":{"DOI":"10.1016/j.ijer.2020.101648","ISSN":"08830355","abstract":"This study investigates the mediating roles of self-efficacy and mathematics anxiety on the effects of mathematics interest on mathematics achievement. A total of 158161 eighth grade students from 4 province of China participated in the large-scale survey. The findings reveal that (1) mathematics interest had a direct and positive effect on students’ mathematics achievement; (2) the positive relationship between mathematics interest and mathematics achievement was partially mediated by self-efficacy; (3) self-efficacy and then mathematics anxiety serially mediated the relationship between mathematics interest and mathematics achievement, but the effect of self-efficacy on mathematics anxiety was relatively smaller. Implications for mathematics education and suggestions for future study are discussed.","author":[{"dropping-particle":"","family":"Zhang","given":"Di","non-dropping-particle":"","parse-names":false,"suffix":""},{"dropping-particle":"","family":"Wang","given":"Chan","non-dropping-particle":"","parse-names":false,"suffix":""}],"container-title":"International Journal of Educational Research","id":"ITEM-1","issue":"101648","issued":{"date-parts":[["2020"]]},"page":"1-9","publisher":"Elsevier","title":"The relationship between mathematics interest and mathematics achievement: Mediating roles of self-efficacy and mathematics anxiety","type":"article-journal","volume":"104"},"uris":["http://www.mendeley.com/documents/?uuid=24f5ba18-8143-4781-aa74-7cc3c68b32c0"]}],"mendeley":{"formattedCitation":"(D. Zhang &amp; Wang, 2020)","manualFormatting":"D. Zhang &amp; Wang (2020)","plainTextFormattedCitation":"(D. Zhang &amp; Wang, 2020)","previouslyFormattedCitation":"(D. Zhang &amp; Wang, 2020)"},"properties":{"noteIndex":0},"schema":"https://github.com/citation-style-language/schema/raw/master/csl-citation.json"}</w:instrText>
      </w:r>
      <w:r w:rsidR="0096393E" w:rsidRPr="00962996">
        <w:rPr>
          <w:rFonts w:ascii="Times New Roman" w:hAnsi="Times New Roman" w:cs="Times New Roman"/>
          <w:sz w:val="24"/>
          <w:szCs w:val="24"/>
          <w:lang w:val="en-US"/>
        </w:rPr>
        <w:fldChar w:fldCharType="separate"/>
      </w:r>
      <w:r w:rsidR="0096393E" w:rsidRPr="00962996">
        <w:rPr>
          <w:rFonts w:ascii="Times New Roman" w:hAnsi="Times New Roman" w:cs="Times New Roman"/>
          <w:noProof/>
          <w:sz w:val="24"/>
          <w:szCs w:val="24"/>
          <w:lang w:val="en-US"/>
        </w:rPr>
        <w:t>D. Zhang &amp; Wang (2020)</w:t>
      </w:r>
      <w:r w:rsidR="0096393E" w:rsidRPr="00962996">
        <w:rPr>
          <w:rFonts w:ascii="Times New Roman" w:hAnsi="Times New Roman" w:cs="Times New Roman"/>
          <w:sz w:val="24"/>
          <w:szCs w:val="24"/>
          <w:lang w:val="en-US"/>
        </w:rPr>
        <w:fldChar w:fldCharType="end"/>
      </w:r>
      <w:r w:rsidR="0096393E"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which shows that math self-efficacy plays an important role in mediating the positive relationship between mathematics interest and mathematics achievement.</w:t>
      </w:r>
    </w:p>
    <w:p w:rsidR="00CD3631"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However, many studies have explained the relationship between math anxiety, math self-efficacy, and mathematics performance</w:t>
      </w:r>
      <w:r w:rsidR="004B04B1" w:rsidRPr="00962996">
        <w:rPr>
          <w:rFonts w:ascii="Times New Roman" w:hAnsi="Times New Roman" w:cs="Times New Roman"/>
          <w:sz w:val="24"/>
          <w:szCs w:val="24"/>
          <w:lang w:val="en-US"/>
        </w:rPr>
        <w:t xml:space="preserve">. </w:t>
      </w:r>
      <w:r w:rsidR="001F1E3E" w:rsidRPr="00962996">
        <w:rPr>
          <w:rFonts w:ascii="Times New Roman" w:hAnsi="Times New Roman" w:cs="Times New Roman"/>
          <w:sz w:val="24"/>
          <w:szCs w:val="24"/>
          <w:lang w:val="en-US"/>
        </w:rPr>
        <w:t>But, a research model that examines the role of math self-efficacy as a mediator in the relationship between math anxiety and math performance is yet to be found</w:t>
      </w:r>
      <w:r w:rsidR="004B04B1" w:rsidRPr="00962996">
        <w:rPr>
          <w:rFonts w:ascii="Times New Roman" w:hAnsi="Times New Roman" w:cs="Times New Roman"/>
          <w:sz w:val="24"/>
          <w:szCs w:val="24"/>
        </w:rPr>
        <w:t xml:space="preserve">. </w:t>
      </w:r>
      <w:r w:rsidR="001F1E3E" w:rsidRPr="00962996">
        <w:rPr>
          <w:rFonts w:ascii="Times New Roman" w:hAnsi="Times New Roman" w:cs="Times New Roman"/>
          <w:sz w:val="24"/>
          <w:szCs w:val="24"/>
        </w:rPr>
        <w:t>Hence, this study was conducted to examine whether math self-efficacy mediates the relationship between math anxiety and students' mathematics performance</w:t>
      </w:r>
      <w:r w:rsidR="001F1E3E" w:rsidRPr="00962996">
        <w:rPr>
          <w:rFonts w:ascii="Times New Roman" w:hAnsi="Times New Roman" w:cs="Times New Roman"/>
          <w:sz w:val="24"/>
          <w:szCs w:val="24"/>
          <w:lang w:val="en-US"/>
        </w:rPr>
        <w:t>.</w:t>
      </w:r>
    </w:p>
    <w:p w:rsidR="00CD3631" w:rsidRPr="00962996" w:rsidRDefault="00CD3631" w:rsidP="00962996">
      <w:pPr>
        <w:spacing w:after="0" w:line="240" w:lineRule="auto"/>
        <w:jc w:val="both"/>
        <w:rPr>
          <w:rFonts w:ascii="Times New Roman" w:hAnsi="Times New Roman" w:cs="Times New Roman"/>
          <w:sz w:val="24"/>
          <w:szCs w:val="24"/>
        </w:rPr>
      </w:pPr>
    </w:p>
    <w:p w:rsidR="00650FE2"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Literature Review</w:t>
      </w:r>
    </w:p>
    <w:p w:rsidR="00170CCB"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Mathematics Performance</w:t>
      </w:r>
    </w:p>
    <w:p w:rsidR="00650FE2"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Many studies examine math performance </w:t>
      </w:r>
      <w:r w:rsidR="004D4770" w:rsidRPr="00962996">
        <w:rPr>
          <w:rFonts w:ascii="Times New Roman" w:hAnsi="Times New Roman" w:cs="Times New Roman"/>
          <w:sz w:val="24"/>
          <w:szCs w:val="24"/>
          <w:lang w:val="en-US"/>
        </w:rPr>
        <w:fldChar w:fldCharType="begin" w:fldLock="1"/>
      </w:r>
      <w:r w:rsidR="004D4770" w:rsidRPr="00962996">
        <w:rPr>
          <w:rFonts w:ascii="Times New Roman" w:hAnsi="Times New Roman" w:cs="Times New Roman"/>
          <w:sz w:val="24"/>
          <w:szCs w:val="24"/>
          <w:lang w:val="en-US"/>
        </w:rPr>
        <w:instrText>ADDIN CSL_CITATION {"citationItems":[{"id":"ITEM-1","itemData":{"DOI":"10.31289/analitika.v11i2.2878","abstract":"International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(ANALITIKA)","id":"ITEM-1","issue":"2","issued":{"date-parts":[["2019"]]},"page":"126-136","title":"Pengaruh math self-efficacy dan math anxiety terhadap performansi matematika pada siswa kelas v sd","type":"article-journal","volume":"11"},"uris":["http://www.mendeley.com/documents/?uuid=c2a01fc6-bed7-4395-ac40-38f8535ef0f4"]},{"id":"ITEM-2","itemData":{"DOI":"10.3389/fpsyg.2021.798090","ISSN":"16641078","abstract":"It is well established that math anxiety has a negative relationship with math performance (MP). A few theories have provided explanations for this relationship. One of them, the Attentional Control Theory (ACT), suggests that anxiety can negatively impact the attentional control system and increase one's attention to threat-related stimuli. Within the ACT framework, the math anxiety (MA)—working memory (WM) relationship is argued to be critical for math performance. The present meta-analyses provides insights into the mechanisms of the MA—MP relation and the mediating role of WM. Through database searches with pre-determined search strings, 1,346 unique articles were identified. After excluding non-relevant studies, data from 57 studies and 150 effect sizes were used for investigating the MA—MP correlation using a random-effects model. This resulted in a mean correlation of r = −0.168. The database search of WM as a mediator for the MA—MP relation revealed 15 effects sizes leading to a descriptive rather than a generalizable statistic, with a mean indirect effect size of −0.092. Overall, the results confirm the ACT theory, WM does play a significant role in the MA—MP relationship.","author":[{"dropping-particle":"","family":"Finell","given":"Jonatan","non-dropping-particle":"","parse-names":false,"suffix":""},{"dropping-particle":"","family":"Sammallahti","given":"Ellen","non-dropping-particle":"","parse-names":false,"suffix":""},{"dropping-particle":"","family":"Korhonen","given":"Johan","non-dropping-particle":"","parse-names":false,"suffix":""},{"dropping-particle":"","family":"Eklöf","given":"Hanna","non-dropping-particle":"","parse-names":false,"suffix":""},{"dropping-particle":"","family":"Jonsson","given":"Bert","non-dropping-particle":"","parse-names":false,"suffix":""}],"container-title":"Frontiers in Psychology","id":"ITEM-2","issue":"798090","issued":{"date-parts":[["2022"]]},"page":"1-14","title":"Working memory and its mediating role on the relationship of math anxiety and math performance: a meta-analysis","type":"article-journal","volume":"12"},"uris":["http://www.mendeley.com/documents/?uuid=5fba6141-a8cc-4945-b98e-c6b8b2c50c82"]},{"id":"ITEM-3","itemData":{"DOI":"10.18844/cjes.v14i2.3766","abstract":"This study investigated secondary school sixth, seventh and eighth graders’ self-efficacy beliefs, engagement and disaffection in Math lessons and academic achievement in relation to learning Mathematics and Math performance. The study was conducted with the voluntary participation of 651 sixth, seventh and eighth graders attending secondary school. Research data were collected with the help of ‘Engagement and Disaffection Scale’, ‘Self-Efficacy sub dimension’ of ‘Motivation Scale’ related to learning and performance and students’ Math first semester grades. It was identified in the study that students’ self-efficacy beliefs in learning and performance in Math significantly and positively predicted their Math achievement. Behavioural and affective disaffection in Math lessons were found to predict Math achievement negatively. It was determined in the study that students’ self-efficacy beliefs related to learning and performance in Math significantly predicted their behavioural and affective engagement in Math positively while predicting their behavioural and affective disaffection negatively.","author":[{"dropping-particle":"","family":"Ozkal","given":"Nese","non-dropping-particle":"","parse-names":false,"suffix":""}],"container-title":"Cypriot Journal of Educational Sciences","id":"ITEM-3","issue":"2","issued":{"date-parts":[["2019"]]},"page":"190-200","title":"Relationships between self-efficacy beliefs, enggagement and academic performance in math lessons","type":"article-journal","volume":"14"},"uris":["http://www.mendeley.com/documents/?uuid=7710f921-7a32-4881-b2eb-a352159557b8"]},{"id":"ITEM-4","itemData":{"DOI":"10.3389/fpsyg.2019.01613","ISSN":"16641078","abstract":"Math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Psychology","id":"ITEM-4","issue":"1613","issued":{"date-parts":[["2019"]]},"page":"1-17","title":"The relationship between math anxiety and math performance: A meta-analytic investigation","type":"article-journal","volume":"10"},"uris":["http://www.mendeley.com/documents/?uuid=d6cfa51b-062a-46af-b469-3c15599d8403"]}],"mendeley":{"formattedCitation":"(Chandra &amp; Royanto, 2019; Finell et al., 2022; Ozkal, 2019; J. Zhang et al., 2019)","manualFormatting":"(i.e. Chandra &amp; Royanto, 2019; Finell et al., 2022; Ozkal, 2019; J. Zhang et al., 2019)","plainTextFormattedCitation":"(Chandra &amp; Royanto, 2019; Finell et al., 2022; Ozkal, 2019; J. Zhang et al., 2019)","previouslyFormattedCitation":"(Chandra &amp; Royanto, 2019; Finell et al., 2022; Ozkal, 2019; J. Zhang et al., 2019)"},"properties":{"noteIndex":0},"schema":"https://github.com/citation-style-language/schema/raw/master/csl-citation.json"}</w:instrText>
      </w:r>
      <w:r w:rsidR="004D4770" w:rsidRPr="00962996">
        <w:rPr>
          <w:rFonts w:ascii="Times New Roman" w:hAnsi="Times New Roman" w:cs="Times New Roman"/>
          <w:sz w:val="24"/>
          <w:szCs w:val="24"/>
          <w:lang w:val="en-US"/>
        </w:rPr>
        <w:fldChar w:fldCharType="separate"/>
      </w:r>
      <w:r w:rsidR="004D4770" w:rsidRPr="00962996">
        <w:rPr>
          <w:rFonts w:ascii="Times New Roman" w:hAnsi="Times New Roman" w:cs="Times New Roman"/>
          <w:noProof/>
          <w:sz w:val="24"/>
          <w:szCs w:val="24"/>
          <w:lang w:val="en-US"/>
        </w:rPr>
        <w:t>(i.e. Chandra &amp; Royanto, 2019; Finell et al., 2022; Ozkal, 2019; J. Zhang et al., 2019)</w:t>
      </w:r>
      <w:r w:rsidR="004D4770"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Unfortunately, there are no studies that clearly explain what mathematics performance is. </w:t>
      </w:r>
      <w:r w:rsidR="005620AC" w:rsidRPr="00962996">
        <w:rPr>
          <w:rFonts w:ascii="Times New Roman" w:hAnsi="Times New Roman" w:cs="Times New Roman"/>
          <w:sz w:val="24"/>
          <w:szCs w:val="24"/>
          <w:lang w:val="en-US"/>
        </w:rPr>
        <w:t xml:space="preserve">Therefore, in this study mathematics performance is defined based on the definition of mathematics ability which refers to </w:t>
      </w:r>
      <w:r w:rsidR="006E368B" w:rsidRPr="00962996">
        <w:rPr>
          <w:rFonts w:ascii="Times New Roman" w:hAnsi="Times New Roman" w:cs="Times New Roman"/>
          <w:sz w:val="24"/>
          <w:szCs w:val="24"/>
          <w:lang w:val="en-US"/>
        </w:rPr>
        <w:t>t</w:t>
      </w:r>
      <w:r w:rsidR="004E17D6" w:rsidRPr="00962996">
        <w:rPr>
          <w:rFonts w:ascii="Times New Roman" w:hAnsi="Times New Roman" w:cs="Times New Roman"/>
          <w:sz w:val="24"/>
          <w:szCs w:val="24"/>
          <w:lang w:val="en-US"/>
        </w:rPr>
        <w:t xml:space="preserve">he ability to use numbers </w:t>
      </w:r>
      <w:r w:rsidR="006E368B" w:rsidRPr="00962996">
        <w:rPr>
          <w:rFonts w:ascii="Times New Roman" w:hAnsi="Times New Roman" w:cs="Times New Roman"/>
          <w:sz w:val="24"/>
          <w:szCs w:val="24"/>
          <w:lang w:val="en-US"/>
        </w:rPr>
        <w:t xml:space="preserve">(i.e. basic number representation, simple arithmetic, and operations skills) </w:t>
      </w:r>
      <w:r w:rsidR="004E17D6" w:rsidRPr="00962996">
        <w:rPr>
          <w:rFonts w:ascii="Times New Roman" w:hAnsi="Times New Roman" w:cs="Times New Roman"/>
          <w:sz w:val="24"/>
          <w:szCs w:val="24"/>
          <w:lang w:val="en-US"/>
        </w:rPr>
        <w:t>and solve mathematical problems</w:t>
      </w:r>
      <w:r w:rsidR="00C45E42" w:rsidRPr="00962996">
        <w:rPr>
          <w:rFonts w:ascii="Times New Roman" w:hAnsi="Times New Roman" w:cs="Times New Roman"/>
          <w:sz w:val="24"/>
          <w:szCs w:val="24"/>
          <w:lang w:val="en-US"/>
        </w:rPr>
        <w:t xml:space="preserve"> </w:t>
      </w:r>
      <w:r w:rsidR="006E368B" w:rsidRPr="00962996">
        <w:rPr>
          <w:rFonts w:ascii="Times New Roman" w:hAnsi="Times New Roman" w:cs="Times New Roman"/>
          <w:sz w:val="24"/>
          <w:szCs w:val="24"/>
          <w:lang w:val="en-US"/>
        </w:rPr>
        <w:t>(i.e. find the solutions</w:t>
      </w:r>
      <w:r w:rsidR="00136499" w:rsidRPr="00962996">
        <w:rPr>
          <w:rFonts w:ascii="Times New Roman" w:hAnsi="Times New Roman" w:cs="Times New Roman"/>
          <w:sz w:val="24"/>
          <w:szCs w:val="24"/>
          <w:lang w:val="en-US"/>
        </w:rPr>
        <w:t xml:space="preserve"> or strategy from an abstract representation of mathematical relations in context-rich problem</w:t>
      </w:r>
      <w:r w:rsidR="006E368B" w:rsidRPr="00962996">
        <w:rPr>
          <w:rFonts w:ascii="Times New Roman" w:hAnsi="Times New Roman" w:cs="Times New Roman"/>
          <w:sz w:val="24"/>
          <w:szCs w:val="24"/>
          <w:lang w:val="en-US"/>
        </w:rPr>
        <w:t xml:space="preserve">) </w:t>
      </w:r>
      <w:r w:rsidR="004D4770"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{"citationItems":[{"id":"ITEM-1","itemData":{"DOI":"10.1007/s10648-021-09620-x","ISBN":"1064802109","ISSN":"1573336X","abstract":"Poor math and numeracy skills are associated with a range of adverse outcomes, including reduced employability and poorer physical and mental health. Research has increasingly focused on understanding factors associated with the improvement of math skills in school. This systematic literature review and meta-analysis investigated the association between metacognition and math performance in adolescence (11–16-year-olds). A systematic search of electronic databases and grey literature (to 04.01.2020) highlighted 31 studies. The quantitative synthesis of 74 effect sizes from 29 of these studies (30 independent populations) indicated a significantly positive correlation between metacognition and math performance in adolescence (r =.37, 95% CI = [.29,.44], p &lt;.001). There was significant heterogeneity between studies. Consideration of online (versus offline) measures of metacognition and more complex (versus simple) measures of math performance, and their combination, was associated with larger effect sizes; however, heterogeneity remained high for all analyses.","author":[{"dropping-particle":"","family":"Muncer","given":"Gemma","non-dropping-particle":"","parse-names":false,"suffix":""},{"dropping-particle":"","family":"Higham","given":"Philip A.","non-dropping-particle":"","parse-names":false,"suffix":""},{"dropping-particle":"","family":"Gosling","given":"Corentin J.","non-dropping-particle":"","parse-names":false,"suffix":""},{"dropping-particle":"","family":"Cortese","given":"Samuele","non-dropping-particle":"","parse-names":false,"suffix":""},{"dropping-particle":"","family":"Wood-Downie","given":"Henry","non-dropping-particle":"","parse-names":false,"suffix":""},{"dropping-particle":"","family":"Hadwin","given":"Julie A.","non-dropping-particle":"","parse-names":false,"suffix":""}],"container-title":"Educational Psychology Review","id":"ITEM-1","issue":"1","issued":{"date-parts":[["2022"]]},"page":"301-334","publisher":"Educational Psychology Review","title":"A meta-analysis investigating the association between metacognition and math performance in adolescence","type":"article-journal","volume":"34"},"uris":["http://www.mendeley.com/documents/?uuid=234559ca-05b2-4f68-8ba6-afbb0edf4ce3"]}],"mendeley":{"formattedCitation":"(Muncer et al., 2022)","plainTextFormattedCitation":"(Muncer et al., 2022)","previouslyFormattedCitation":"(Muncer et al., 2022)"},"properties":{"noteIndex":0},"schema":"https://github.com/citation-style-language/schema/raw/master/csl-citation.json"}</w:instrText>
      </w:r>
      <w:r w:rsidR="004D4770" w:rsidRPr="00962996">
        <w:rPr>
          <w:rFonts w:ascii="Times New Roman" w:hAnsi="Times New Roman" w:cs="Times New Roman"/>
          <w:sz w:val="24"/>
          <w:szCs w:val="24"/>
          <w:lang w:val="en-US"/>
        </w:rPr>
        <w:fldChar w:fldCharType="separate"/>
      </w:r>
      <w:r w:rsidR="004D4770" w:rsidRPr="00962996">
        <w:rPr>
          <w:rFonts w:ascii="Times New Roman" w:hAnsi="Times New Roman" w:cs="Times New Roman"/>
          <w:noProof/>
          <w:sz w:val="24"/>
          <w:szCs w:val="24"/>
          <w:lang w:val="en-US"/>
        </w:rPr>
        <w:t>(Muncer et al., 2022)</w:t>
      </w:r>
      <w:r w:rsidR="004D4770" w:rsidRPr="00962996">
        <w:rPr>
          <w:rFonts w:ascii="Times New Roman" w:hAnsi="Times New Roman" w:cs="Times New Roman"/>
          <w:sz w:val="24"/>
          <w:szCs w:val="24"/>
          <w:lang w:val="en-US"/>
        </w:rPr>
        <w:fldChar w:fldCharType="end"/>
      </w:r>
      <w:r w:rsidR="00C45E42" w:rsidRPr="00962996">
        <w:rPr>
          <w:rFonts w:ascii="Times New Roman" w:hAnsi="Times New Roman" w:cs="Times New Roman"/>
          <w:sz w:val="24"/>
          <w:szCs w:val="24"/>
          <w:lang w:val="en-US"/>
        </w:rPr>
        <w:t>.</w:t>
      </w:r>
      <w:r w:rsidR="00247FFE" w:rsidRPr="00962996">
        <w:rPr>
          <w:rFonts w:ascii="Times New Roman" w:hAnsi="Times New Roman" w:cs="Times New Roman"/>
          <w:sz w:val="24"/>
          <w:szCs w:val="24"/>
          <w:lang w:val="en-US"/>
        </w:rPr>
        <w:t xml:space="preserve"> </w:t>
      </w:r>
      <w:r w:rsidR="00E26F7C" w:rsidRPr="00962996">
        <w:rPr>
          <w:rFonts w:ascii="Times New Roman" w:hAnsi="Times New Roman" w:cs="Times New Roman"/>
          <w:sz w:val="24"/>
          <w:szCs w:val="24"/>
          <w:lang w:val="en-US"/>
        </w:rPr>
        <w:t>A</w:t>
      </w:r>
      <w:r w:rsidR="00E46A0C" w:rsidRPr="00962996">
        <w:rPr>
          <w:rFonts w:ascii="Times New Roman" w:hAnsi="Times New Roman" w:cs="Times New Roman"/>
          <w:sz w:val="24"/>
          <w:szCs w:val="24"/>
          <w:lang w:val="en-US"/>
        </w:rPr>
        <w:t xml:space="preserve">ccording to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{"citationItems":[{"id":"ITEM-1","itemData":{"abstract":"Belief is the basis of thought that can influence one's mindset and view to something before acting. Students' beliefs about mathematics are students' perspective in assessing mathematics, while students' beliefs about mathematics learning are the way students see in learning, understanding, and mathematics problem solving. Mathematics ability is the intellectual ability possessed by students in mathematics learning. In this study the researchers wanted to know how the students' beliefs relate to mathematics and their learning to mathematical abilities. The type of research used in this study was expost facto research using correlation tests because to determine the relationship between variables x (students 'beliefs about mathematics and learning) and y variables (students' mathematical abilities). The population in this study were students of SMP Negeri 1 Sidoarjo VIII class which amounted to 367 students. The sampling technique in this study is taking 50% of the population so that the sample is taken 200 students. The instrument in this study was in the form of student confidence questionnaires about mathematics and learning and tests of mathematical abilities. Processing and data analysis techniques in this study used descriptive statistics and inferential statistics. The results of the correlation test in this study indicate a significant relationship between students 'beliefs about mathematics and their learning with students' mathematics ability with Rcount 0.762. Based on the correlation criteria table, this value in the range of 0.76 0.99 which indicates that the correlation between variables is very strong.","author":[{"dropping-particle":"","family":"Liviananda","given":"Fadhilah","non-dropping-particle":"","parse-names":false,"suffix":""},{"dropping-particle":"","family":"Ekawati","given":"Rooselyna","non-dropping-particle":"","parse-names":false,"suffix":""}],"container-title":"Jurnal Ilmiah Pendidikan Matematika","id":"ITEM-1","issue":"2","issued":{"date-parts":[["2019"]]},"page":"357-364","title":"Hubungan keyakinan siswa tentang matematika dan pembelajarannya dengan kemampuan matematika","type":"article-journal","volume":"8"},"uris":["http://www.mendeley.com/documents/?uuid=6efc8c25-80e8-4486-96af-0aae97a73515"]}],"mendeley":{"formattedCitation":"(Liviananda &amp; Ekawati, 2019)","manualFormatting":"Liviananda &amp; Ekawati (2019)","plainTextFormattedCitation":"(Liviananda &amp; Ekawati, 2019)","previouslyFormattedCitation":"(Liviananda &amp; Ekawati, 2019)"},"properties":{"noteIndex":0},"schema":"https://github.com/citation-style-language/schema/raw/master/csl-citation.json"}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Liviananda &amp; Ekawati (2019)</w:t>
      </w:r>
      <w:r w:rsidR="0096578A" w:rsidRPr="00962996">
        <w:rPr>
          <w:rFonts w:ascii="Times New Roman" w:hAnsi="Times New Roman" w:cs="Times New Roman"/>
          <w:sz w:val="24"/>
          <w:szCs w:val="24"/>
          <w:lang w:val="en-US"/>
        </w:rPr>
        <w:fldChar w:fldCharType="end"/>
      </w:r>
      <w:r w:rsidR="0096578A" w:rsidRPr="00962996">
        <w:rPr>
          <w:rFonts w:ascii="Times New Roman" w:hAnsi="Times New Roman" w:cs="Times New Roman"/>
          <w:sz w:val="24"/>
          <w:szCs w:val="24"/>
          <w:lang w:val="en-US"/>
        </w:rPr>
        <w:t xml:space="preserve">, </w:t>
      </w:r>
      <w:r w:rsidR="00E26F7C" w:rsidRPr="00962996">
        <w:rPr>
          <w:rFonts w:ascii="Times New Roman" w:hAnsi="Times New Roman" w:cs="Times New Roman"/>
          <w:sz w:val="24"/>
          <w:szCs w:val="24"/>
          <w:lang w:val="en-US"/>
        </w:rPr>
        <w:t xml:space="preserve">mathematics performance </w:t>
      </w:r>
      <w:r w:rsidR="00486831" w:rsidRPr="00962996">
        <w:rPr>
          <w:rFonts w:ascii="Times New Roman" w:hAnsi="Times New Roman" w:cs="Times New Roman"/>
          <w:sz w:val="24"/>
          <w:szCs w:val="24"/>
          <w:lang w:val="en-US"/>
        </w:rPr>
        <w:t>can be defined as</w:t>
      </w:r>
      <w:r w:rsidR="00E26F7C" w:rsidRPr="00962996">
        <w:rPr>
          <w:rFonts w:ascii="Times New Roman" w:hAnsi="Times New Roman" w:cs="Times New Roman"/>
          <w:sz w:val="24"/>
          <w:szCs w:val="24"/>
          <w:lang w:val="en-US"/>
        </w:rPr>
        <w:t xml:space="preserve"> the capability</w:t>
      </w:r>
      <w:r w:rsidR="00486831" w:rsidRPr="00962996">
        <w:rPr>
          <w:rFonts w:ascii="Times New Roman" w:hAnsi="Times New Roman" w:cs="Times New Roman"/>
          <w:sz w:val="24"/>
          <w:szCs w:val="24"/>
          <w:lang w:val="en-US"/>
        </w:rPr>
        <w:t xml:space="preserve"> that students have in the fields of knowledge, skills, and attitudes that are reflected in their habits of thinking and how they solve mathematical problems. </w:t>
      </w:r>
      <w:r w:rsidR="00CA5928" w:rsidRPr="00962996">
        <w:rPr>
          <w:rFonts w:ascii="Times New Roman" w:hAnsi="Times New Roman" w:cs="Times New Roman"/>
          <w:sz w:val="24"/>
          <w:szCs w:val="24"/>
          <w:lang w:val="en-US"/>
        </w:rPr>
        <w:t>Thus</w:t>
      </w:r>
      <w:r w:rsidR="00247FFE" w:rsidRPr="00962996">
        <w:rPr>
          <w:rFonts w:ascii="Times New Roman" w:hAnsi="Times New Roman" w:cs="Times New Roman"/>
          <w:sz w:val="24"/>
          <w:szCs w:val="24"/>
          <w:lang w:val="en-US"/>
        </w:rPr>
        <w:t xml:space="preserve">, mathematics performance can be defined as </w:t>
      </w:r>
      <w:r w:rsidR="00CA5928" w:rsidRPr="00962996">
        <w:rPr>
          <w:rFonts w:ascii="Times New Roman" w:hAnsi="Times New Roman" w:cs="Times New Roman"/>
          <w:sz w:val="24"/>
          <w:szCs w:val="24"/>
          <w:lang w:val="en-US"/>
        </w:rPr>
        <w:t>the</w:t>
      </w:r>
      <w:r w:rsidR="00247FFE" w:rsidRPr="00962996">
        <w:rPr>
          <w:rFonts w:ascii="Times New Roman" w:hAnsi="Times New Roman" w:cs="Times New Roman"/>
          <w:sz w:val="24"/>
          <w:szCs w:val="24"/>
          <w:lang w:val="en-US"/>
        </w:rPr>
        <w:t xml:space="preserve"> student's ability to learn and do or solve problems in math. </w:t>
      </w:r>
    </w:p>
    <w:p w:rsidR="00170CC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 </w:t>
      </w:r>
    </w:p>
    <w:p w:rsidR="00170CCB" w:rsidRPr="00962996" w:rsidRDefault="00000000" w:rsidP="00962996">
      <w:pPr>
        <w:spacing w:after="0" w:line="240" w:lineRule="auto"/>
        <w:jc w:val="both"/>
        <w:rPr>
          <w:rFonts w:ascii="Times New Roman" w:hAnsi="Times New Roman" w:cs="Times New Roman"/>
          <w:b/>
          <w:bCs/>
          <w:sz w:val="24"/>
          <w:szCs w:val="24"/>
          <w:lang w:val="en-US"/>
        </w:rPr>
      </w:pPr>
      <w:bookmarkStart w:id="0" w:name="_Hlk139618076"/>
      <w:r w:rsidRPr="00962996">
        <w:rPr>
          <w:rFonts w:ascii="Times New Roman" w:hAnsi="Times New Roman" w:cs="Times New Roman"/>
          <w:b/>
          <w:bCs/>
          <w:sz w:val="24"/>
          <w:szCs w:val="24"/>
          <w:lang w:val="en-US"/>
        </w:rPr>
        <w:t xml:space="preserve">Math </w:t>
      </w:r>
      <w:r w:rsidR="00955D1A" w:rsidRPr="00962996">
        <w:rPr>
          <w:rFonts w:ascii="Times New Roman" w:hAnsi="Times New Roman" w:cs="Times New Roman"/>
          <w:b/>
          <w:bCs/>
          <w:sz w:val="24"/>
          <w:szCs w:val="24"/>
          <w:lang w:val="en-US"/>
        </w:rPr>
        <w:t>a</w:t>
      </w:r>
      <w:r w:rsidRPr="00962996">
        <w:rPr>
          <w:rFonts w:ascii="Times New Roman" w:hAnsi="Times New Roman" w:cs="Times New Roman"/>
          <w:b/>
          <w:bCs/>
          <w:sz w:val="24"/>
          <w:szCs w:val="24"/>
          <w:lang w:val="en-US"/>
        </w:rPr>
        <w:t>nxiety</w:t>
      </w:r>
      <w:r w:rsidR="00955D1A" w:rsidRPr="00962996">
        <w:rPr>
          <w:rFonts w:ascii="Times New Roman" w:hAnsi="Times New Roman" w:cs="Times New Roman"/>
          <w:b/>
          <w:bCs/>
          <w:sz w:val="24"/>
          <w:szCs w:val="24"/>
          <w:lang w:val="en-US"/>
        </w:rPr>
        <w:t xml:space="preserve"> and </w:t>
      </w:r>
      <w:bookmarkEnd w:id="0"/>
      <w:r w:rsidR="00955D1A" w:rsidRPr="00962996">
        <w:rPr>
          <w:rFonts w:ascii="Times New Roman" w:hAnsi="Times New Roman" w:cs="Times New Roman"/>
          <w:b/>
          <w:bCs/>
          <w:sz w:val="24"/>
          <w:szCs w:val="24"/>
          <w:lang w:val="en-US"/>
        </w:rPr>
        <w:t>mathematics performance</w:t>
      </w:r>
    </w:p>
    <w:p w:rsidR="009005C1"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Mathematics is often considered a difficult subject by most students. The results of the PISA study in 2012 reported that 59% of students often worried that math lessons would be difficult for them, 33% stated that they felt very tense when they had to complete math homework, and another 31% stated that they felt nervous when solving math problems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{"citationItems":[{"id":"ITEM-1","itemData":{"DOI":"10.2147/PRBM.S141421","ISSN":"11791578","abstract":"Anxiety disorders are some of the most widespread mental health issues worldwide. In educational settings, individuals may suffer from specific forms of test and performance anxiety that are connected to a knowledge domain. Unquestionably, the most prominent of these is math anxiety. Math anxiety is a widespread problem for all ages across the globe. In the international assessments of the Programme for International Student Assessment (PISA) studies, a majority of adolescents report worry and tension in math classes and when doing math. To understand how math anxiety takes effect, it has to be regarded as a variable within an ensemble of interacting variables. There are antecedents that facilitate the development of math anxiety. They concern environmental factors such as teachers’ and parents’ attitudes toward their students’ and children’s ability in math, societal stereotypes (eg, on females’ math abilities), or personal factors such as traits or gender. These antecedents influence a number of variables that are important in learning processes. Math anxiety interacts with variables such as self-efficacy or motivation in math, which can intensify or counteract math anxiety. Outcomes of math anxiety concern not only performance in math-related situations, they can also have long-term effects that involve efficient (or not-so-efficient) learning as well as course and even vocational choices. How can math anxiety be counteracted? A first step lies in its correct diagnosis. Questionnaires for the assessment of math anxiety exist for all age groups, starting at primary education level. Help against math anxiety can be offered on different levels: by educational institutions, by teachers and a change in instructional approaches, by parents, or by the affected person. However, much more research is needed to develop effective measures against math anxiety that are tailored to an individual’s characteristics and needs.","author":[{"dropping-particle":"","family":"Luttenberger","given":"Silke","non-dropping-particle":"","parse-names":false,"suffix":""},{"dropping-particle":"","family":"Wimmer","given":"Sigrid","non-dropping-particle":"","parse-names":false,"suffix":""},{"dropping-particle":"","family":"Paechter","given":"Manuela","non-dropping-particle":"","parse-names":false,"suffix":""}],"container-title":"Psychology Research and Behavior Management","id":"ITEM-1","issued":{"date-parts":[["2018"]]},"note":"Luttenberger S, Wimmer S, Paechter M. Spotlight on math anxiety. Psychol Res Behav Manag. 2018;11:311-322 https://doi.org/10.2147/PRBM.S141421","page":"311-322","title":"Spotlight on math anxiety","type":"article-journal","volume":"11"},"uris":["http://www.mendeley.com/documents/?uuid=85649f43-f9d5-45d5-9cd1-d30893307716"]},{"id":"ITEM-2","itemData":{"abstract":"The OECD Programme for International Student Assessment (PISA) assesses the extent to which 15-year-old students have acquired key knowledge and skills that are essential for full participation in modern societies. The assessment, which focuses on reading, mathematics, science and problem-solving, does not just ascertain whether students can reproduce what they have learned; it also examines how well they can extrapolate from what they have learned and apply that knowledge in unfamiliar settings, both in and outside of school. This approach reflects the fact that modern societies reward individuals not for what they know, but for what they can do with what they know. Around 510,000 students (representative of about 28 million students overall) from all 34 OECD member countries and 31 partner countries and economies participated in PISA 2012, representing more than 80 per cent of the world economy. For the first time, PISA 2012 also included an assessment of the financial literacy of young people. The findings presented in this report will allow policy makers to gauge the knowledge and skills of students in their own countries in comparison with those in other countries, set policy targets against measurable goals achieved by other education systems, and learn from policies and practices applied elsewhere.","author":[{"dropping-particle":"","family":"OECD","given":"","non-dropping-particle":"","parse-names":false,"suffix":""}],"id":"ITEM-2","issued":{"date-parts":[["2013"]]},"number-of-pages":"1-43","publisher-place":"Paris","title":"PISA 2012 Results in Focus: What 15-year-olds know and what they can do with what they know","type":"report"},"uris":["http://www.mendeley.com/documents/?uuid=4ad9e753-2622-4a12-858e-eb22477375f4"]}],"mendeley":{"formattedCitation":"(Luttenberger et al., 2018; OECD, 2013)","plainTextFormattedCitation":"(Luttenberger et al., 2018; OECD, 2013)","previouslyFormattedCitation":"(Luttenberger et al., 2018; OECD, 2013)"},"properties":{"noteIndex":0},"schema":"https://github.com/citation-style-language/schema/raw/master/csl-citation.json"}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(Luttenberger et al., 2018; OECD, 2013)</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The circumstances when individuals feel anxious, tense, and fearful when dealing with math tasks are defined as math anxiety.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{"citationItems":[{"id":"ITEM-1","itemData":{"DOI":"10.1111/1467-8721.00196","ISSN":"09637214","abstract":"Highly math-anxious individuals are characterized by a strong tendency to avoid math, which ultimately undercuts their math competence and forecloses important career paths. But timed, on-line tests reveal math-anxiety effects on whole-number arithmetic problems (e.g., 46 + 27), whereas achievement tests show no competence differences. Math anxiety disrupts cognitive processing by compromising ongoing activity in working memory. Although the causes of math anxiety are undetermined, some teaching styles are implicated as risk factors. We need research on the origins of math anxiety and on its \"signature\" in brain activity, to examine both its emotional and its cognitive components.","author":[{"dropping-particle":"","family":"Ashcraft","given":"Mark H.","non-dropping-particle":"","parse-names":false,"suffix":""}],"container-title":"Current Directions in Psychological Science","id":"ITEM-1","issue":"5","issued":{"date-parts":[["2002"]]},"page":"181-185","title":"Math anxiety: Personal, educational, and cognitive consequences","type":"article-journal","volume":"11"},"uris":["http://www.mendeley.com/documents/?uuid=94c07dcf-73a8-456e-9859-797a5be6e65f"]},{"id":"ITEM-2","itemData":{"DOI":"10.31289/analitika.v11i2.2878","abstract":"International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(ANALITIKA)","id":"ITEM-2","issue":"2","issued":{"date-parts":[["2019"]]},"page":"126-136","title":"Pengaruh math self-efficacy dan math anxiety terhadap performansi matematika pada siswa kelas v sd","type":"article-journal","volume":"11"},"uris":["http://www.mendeley.com/documents/?uuid=c2a01fc6-bed7-4395-ac40-38f8535ef0f4"]}],"mendeley":{"formattedCitation":"(Ashcraft, 2002; Chandra &amp; Royanto, 2019)","plainTextFormattedCitation":"(Ashcraft, 2002; Chandra &amp; Royanto, 2019)","previouslyFormattedCitation":"(Ashcraft, 2002; Chandra &amp; Royanto, 2019)"},"properties":{"noteIndex":0},"schema":"https://github.com/citation-style-language/schema/raw/master/csl-citation.json"}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 xml:space="preserve">(Ashcraft, 2002; Chandra &amp; Royanto, </w:t>
      </w:r>
      <w:r w:rsidR="0096578A" w:rsidRPr="00962996">
        <w:rPr>
          <w:rFonts w:ascii="Times New Roman" w:hAnsi="Times New Roman" w:cs="Times New Roman"/>
          <w:noProof/>
          <w:sz w:val="24"/>
          <w:szCs w:val="24"/>
          <w:lang w:val="en-US"/>
        </w:rPr>
        <w:lastRenderedPageBreak/>
        <w:t>2019)</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Math anxiety is also defined as an intense and negative fear and emotional response to math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{"citationItems":[{"id":"ITEM-1","itemData":{"DOI":"10.26822/iejee.2019553343","ISSN":"13079298","abstract":"The aim of this study was to determine the dimensions of the relationship between math anxiety and mathematics achievement of the third grade students with and without mathematics learning difficulties. Data were collected from 288 elementary school students using math anxiety scale and math achievement test tools. The mathematics achievement test scores reveal that the students were classified into four groups: math learning difficulties (0-10%), low achievers (11-25%), normal achievers (26-95%), and high achievers (96-100%). The findings reveal that there was a strong correlation (r=-.597) between the math anxiety and math achievement of the participants, while there was no significant difference between the mean scores of the mathematics anxiety of the lower two groups as it was between the two upper groups. This indicates that the math anxiety level of the students with math learning difficulties does not differ from the low achievers. However, the results depict a significant difference between the mean scores of the math anxiety of the low achievers and the normal achievers.","author":[{"dropping-particle":"","family":"Mutlu","given":"Yılmaz","non-dropping-particle":"","parse-names":false,"suffix":""}],"container-title":"International Electronic Journal of Elementary Education (IEJEE)","id":"ITEM-1","issue":"5","issued":{"date-parts":[["2019"]]},"page":"471-475","title":"Math anxiety in students with and without math learning difficulties","type":"article-journal","volume":"11"},"uris":["http://www.mendeley.com/documents/?uuid=a7ee28dd-b326-4a7f-b194-c4cd1145354c"]},{"id":"ITEM-2","itemData":{"DOI":"10.1080/00098655.1981.10113669","ISSN":"0009-8655","author":[{"dropping-particle":"","family":"Sherard","given":"Wade H.","non-dropping-particle":"","parse-names":false,"suffix":""}],"container-title":"The Clearing House: A Journal of Educational Strategies, Issues and Ideas","id":"ITEM-2","issue":"3","issued":{"date-parts":[["1981"]]},"page":"106-110","title":"Math Anxiety in the Classroom","type":"article-journal","volume":"55"},"uris":["http://www.mendeley.com/documents/?uuid=854a7f7d-52df-45e8-999a-94284d96c498"]}],"mendeley":{"formattedCitation":"(Mutlu, 2019; Sherard, 1981)","plainTextFormattedCitation":"(Mutlu, 2019; Sherard, 1981)","previouslyFormattedCitation":"(Mutlu, 2019; Sherard, 1981)"},"properties":{"noteIndex":0},"schema":"https://github.com/citation-style-language/schema/raw/master/csl-citation.json"}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(Mutlu, 2019; Sherard, 1981)</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w:t>
      </w:r>
    </w:p>
    <w:p w:rsidR="009005C1"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Math anxiety is often considered a problem among students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{"citationItems":[{"id":"ITEM-1","itemData":{"DOI":"10.15408/ajme.v2i1.16312","abstract":"Penelitian ini dilatarbelakangi oleh rendahnya kemampuan berpikir kritis matematis siswa di sekolah menengah pertama terutama di kelas VII. Siswa kelas VII yang merupakan peralihan dari SD menuju ke SMP menjadi salah satu alasan siswa kelas VII minim dalam kemampuan berpikir kritis matematis. Rendahnya Kemampuan berpikir kritis matematis siswa SMP salah satu faktornya adalah kecemasan matematika. Penelitian ini bertujuan untuk mencari hubungan antara kecemasan matematika dan kemampuan berpikir kritis siswa kelas VII SMPN 5 Kota Serang. Metode Penelitian ini adalah deskriptif kuantitatif dengan menjadikan 110 anak dari kelas VII sebagai sampel. Data dikumpulkan melalui angket dan tes. Hasil penelitian ini menunjukan bahwa 1) besaran koefisien korelasi antara kecemasan matematika dan kemampuan berpikir kritis matematis siswa sebesar -0,5991 &gt; rs tabel 0,1695, yang berarti terdapat hubungan yang signifikan dan negatif antara kecemasan matematika dan kemampuan berpikir kritis matematis siswa 2) terdapat perbedaan rata – rata skor kemampuan berpikir kritis matematis dimana skor siswa berkecemasan rendah lebih baik daripada siswa berkecemasan sedang dan tinggi, dan skor siswa berkecemasan sedang lebih baik daripada skor siswa berkecemasan tinggi.","author":[{"dropping-particle":"","family":"Hadi","given":"Faiq Zulfikar","non-dropping-particle":"","parse-names":false,"suffix":""},{"dropping-particle":"","family":"Fathurrohman","given":"Maman","non-dropping-particle":"","parse-names":false,"suffix":""},{"dropping-particle":"","family":"Hadi","given":"Cecep Anwar","non-dropping-particle":"","parse-names":false,"suffix":""}],"container-title":"ALGORITMA Journal of Mathematics Education (AJME)","id":"ITEM-1","issue":"1","issued":{"date-parts":[["2020"]]},"page":"59-72","title":"Kecemasan matematika dan kemampuan berpikir kritis matematis siswa di sekolah menengah pertama","type":"article-journal","volume":"2"},"uris":["http://www.mendeley.com/documents/?uuid=359656d4-9bc6-4e02-8d2a-e093d56d0245"]}],"mendeley":{"formattedCitation":"(Hadi et al., 2020)","plainTextFormattedCitation":"(Hadi et al., 2020)","previouslyFormattedCitation":"(Hadi et al., 2020)"},"properties":{"noteIndex":0},"schema":"https://github.com/citation-style-language/schema/raw/master/csl-citation.json"}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(Hadi et al., 2020)</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People who experience math anxiety will be difficult to absorb information and learn concepts, affecting the quality of learning, and learning outcomes are not optimal, so it will reduce student mathematics achievement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{"citationItems":[{"id":"ITEM-1","itemData":{"ISSN":"2579-9258","abstract":"Penelitian ini bertujuan untuk memberi tahu sejauh mana kecemasan matematika itu berdampak pada hasil belajar siswa SMP Negeri 2 Rawamerta selama masa pandemi Covid-19. Penelitian ini menggunakan jenis ex post facto. Penelitian ini juga dilatarbelakangi oleh rendahnya prestasi atau hasil belajar siswa. Target atau sasaran dari penelitian ini yaitu siswa kelas VIII SMP Negeri 2 Rawamerta tahun ajaran 2020/2021. Kategori sampel menggunakan teknik simple random sampling. Instrumen yang digunakan berupa angket dan file tes hasil belajar. Hal yang didapat dari hasil penelitian yaitu bahwa kecemasan matematika berpengaruh signifikan terhadap hasil belajar siswa, dapat ditunjukkan melalui nilai signifikansi analisis regresi linier sebesar 0,015 yang lebih kecil dari 0,05.","author":[{"dropping-particle":"","family":"Berliana","given":"Citra","non-dropping-particle":"","parse-names":false,"suffix":""},{"dropping-particle":"","family":"Adirakasiwi","given":"Alpha Galih","non-dropping-particle":"","parse-names":false,"suffix":""}],"container-title":"Jurnal Cendekia: Jurnal Pendidikan Matematika","id":"ITEM-1","issue":"3","issued":{"date-parts":[["2021"]]},"page":"2628-2635","title":"Pengaruh mathematics anxiety terhadap hasil belajar matematika siswa smp di masa pandemi covid-19","type":"article-journal","volume":"5"},"uris":["http://www.mendeley.com/documents/?uuid=e533363f-004b-447e-af29-6d5e77601cd8"]}],"mendeley":{"formattedCitation":"(Berliana &amp; Adirakasiwi, 2021)","plainTextFormattedCitation":"(Berliana &amp; Adirakasiwi, 2021)","previouslyFormattedCitation":"(Berliana &amp; Adirakasiwi, 2021)"},"properties":{"noteIndex":0},"schema":"https://github.com/citation-style-language/schema/raw/master/csl-citation.json"}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(Berliana &amp; Adirakasiwi, 2021)</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w:t>
      </w:r>
      <w:r w:rsidR="00EE2741" w:rsidRPr="00962996">
        <w:rPr>
          <w:rFonts w:ascii="Times New Roman" w:hAnsi="Times New Roman" w:cs="Times New Roman"/>
          <w:sz w:val="24"/>
          <w:szCs w:val="24"/>
          <w:lang w:val="en-US"/>
        </w:rPr>
        <w:t xml:space="preserve"> A meta-analysis of 49 research articles identified a strong negative relationship between math anxiety and math performance.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Psychology","id":"ITEM-1","issue":"1613","issued":{"date-parts":[["2019"]]},"page":"1-17","title":"The relationship between math anxiety and math performance: A meta-analytic investigation","type":"article-journal","volume":"10"},"uris":["http://www.mendeley.com/documents/?uuid=d6cfa51b-062a-46af-b469-3c15599d8403"]}],"mendeley":{"formattedCitation":"(J. Zhang et al., 2019)","plainTextFormattedCitation":"(J. Zhang et al., 2019)","previouslyFormattedCitation":"(J. Zhang et al., 2019)"},"properties":{"noteIndex":0},"schema":"https://github.com/citation-style-language/schema/raw/master/csl-citation.json"}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(J. Zhang et al., 2019)</w:t>
      </w:r>
      <w:r w:rsidR="0096578A" w:rsidRPr="00962996">
        <w:rPr>
          <w:rFonts w:ascii="Times New Roman" w:hAnsi="Times New Roman" w:cs="Times New Roman"/>
          <w:sz w:val="24"/>
          <w:szCs w:val="24"/>
          <w:lang w:val="en-US"/>
        </w:rPr>
        <w:fldChar w:fldCharType="end"/>
      </w:r>
      <w:r w:rsidR="00EE2741" w:rsidRPr="00962996">
        <w:rPr>
          <w:rFonts w:ascii="Times New Roman" w:hAnsi="Times New Roman" w:cs="Times New Roman"/>
          <w:sz w:val="24"/>
          <w:szCs w:val="24"/>
          <w:lang w:val="en-US"/>
        </w:rPr>
        <w:t xml:space="preserve">. </w:t>
      </w:r>
      <w:r w:rsidR="003212AB" w:rsidRPr="00962996">
        <w:rPr>
          <w:rFonts w:ascii="Times New Roman" w:hAnsi="Times New Roman" w:cs="Times New Roman"/>
          <w:sz w:val="24"/>
          <w:szCs w:val="24"/>
          <w:lang w:val="en-US"/>
        </w:rPr>
        <w:t>Moreover, math anxiety showed a negative relationship with students' numeracy skills</w:t>
      </w:r>
      <w:r w:rsidRPr="00962996">
        <w:rPr>
          <w:rFonts w:ascii="Times New Roman" w:hAnsi="Times New Roman" w:cs="Times New Roman"/>
          <w:sz w:val="24"/>
          <w:szCs w:val="24"/>
          <w:lang w:val="en-US"/>
        </w:rPr>
        <w:t xml:space="preserve">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{"citationItems":[{"id":"ITEM-1","itemData":{"DOI":"10.1016/j.actpsy.2021.103413","ISSN":"18736297","PMID":"34537471","abstract":"Some academic subjects, such as math, produce negative feelings, influencing achievement. Math anxiety interferes with processing math-related or number-related information and tasks in ordinary life and academic situations. It differs from general academic anxiety that involves all the academic situations, independently by the specificity of the study subject. Further, it is possible to identify two correlated dimensions of math anxiety which may considerably interfere with math performance: anxiety related to learning mathematics and that experienced during tests. This study investigated the relationship between general academic anxiety, math anxiety, and calculation skill in schoolchildren (N = 204). Results showed that math anxiety was negatively associated with calculation performance in schoolchildren. More specifically, anxiety for math tests correlated negatively with numerical knowledge, calculation accuracy, and calculation speed, while anxiety for learning math correlated negatively with written calculation scores. These findings have a great educational interest. Indeed, calculation skills are central in school and daily life so teachers should recognize math anxiety precociously and promote educational interventions to control it.","author":[{"dropping-particle":"","family":"Commodari","given":"Elena","non-dropping-particle":"","parse-names":false,"suffix":""},{"dropping-particle":"","family":"Rosa","given":"Valentina Lucia","non-dropping-particle":"La","parse-names":false,"suffix":""}],"container-title":"Acta Psychologica","id":"ITEM-1","issue":"103413","issued":{"date-parts":[["2021"]]},"page":"1-7","publisher":"Elsevier B.V.","title":"General academic anxiety and math anxiety in primary school. The impact of math anxiety on calculation skills","type":"article-journal","volume":"220"},"uris":["http://www.mendeley.com/documents/?uuid=8836b5b7-a74f-43f1-ad4d-24d58e6df11a"]}],"mendeley":{"formattedCitation":"(Commodari &amp; La Rosa, 2021)","plainTextFormattedCitation":"(Commodari &amp; La Rosa, 2021)","previouslyFormattedCitation":"(Commodari &amp; La Rosa, 2021)"},"properties":{"noteIndex":0},"schema":"https://github.com/citation-style-language/schema/raw/master/csl-citation.json"}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(Commodari &amp; La Rosa, 2021)</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r w:rsidR="00EE2741" w:rsidRPr="00962996">
        <w:rPr>
          <w:rFonts w:ascii="Times New Roman" w:hAnsi="Times New Roman" w:cs="Times New Roman"/>
          <w:sz w:val="24"/>
          <w:szCs w:val="24"/>
          <w:lang w:val="en-US"/>
        </w:rPr>
        <w:t xml:space="preserve">and have a </w:t>
      </w:r>
      <w:r w:rsidR="00044764" w:rsidRPr="00962996">
        <w:rPr>
          <w:rFonts w:ascii="Times New Roman" w:hAnsi="Times New Roman" w:cs="Times New Roman"/>
          <w:sz w:val="24"/>
          <w:szCs w:val="24"/>
          <w:lang w:val="en-US"/>
        </w:rPr>
        <w:t>long</w:t>
      </w:r>
      <w:r w:rsidR="00EE2741" w:rsidRPr="00962996">
        <w:rPr>
          <w:rFonts w:ascii="Times New Roman" w:hAnsi="Times New Roman" w:cs="Times New Roman"/>
          <w:sz w:val="24"/>
          <w:szCs w:val="24"/>
          <w:lang w:val="en-US"/>
        </w:rPr>
        <w:t>-lasting effect on learning, which makes them susceptible to a variety of harmful learning behaviors that can hinder student performance</w:t>
      </w:r>
      <w:r w:rsidRPr="00962996">
        <w:rPr>
          <w:rFonts w:ascii="Times New Roman" w:hAnsi="Times New Roman" w:cs="Times New Roman"/>
          <w:sz w:val="24"/>
          <w:szCs w:val="24"/>
          <w:lang w:val="en-US"/>
        </w:rPr>
        <w:t xml:space="preserve">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{"citationItems":[{"id":"ITEM-1","itemData":{"DOI":"10.2147/PRBM.S141421","ISSN":"11791578","abstract":"Anxiety disorders are some of the most widespread mental health issues worldwide. In educational settings, individuals may suffer from specific forms of test and performance anxiety that are connected to a knowledge domain. Unquestionably, the most prominent of these is math anxiety. Math anxiety is a widespread problem for all ages across the globe. In the international assessments of the Programme for International Student Assessment (PISA) studies, a majority of adolescents report worry and tension in math classes and when doing math. To understand how math anxiety takes effect, it has to be regarded as a variable within an ensemble of interacting variables. There are antecedents that facilitate the development of math anxiety. They concern environmental factors such as teachers’ and parents’ attitudes toward their students’ and children’s ability in math, societal stereotypes (eg, on females’ math abilities), or personal factors such as traits or gender. These antecedents influence a number of variables that are important in learning processes. Math anxiety interacts with variables such as self-efficacy or motivation in math, which can intensify or counteract math anxiety. Outcomes of math anxiety concern not only performance in math-related situations, they can also have long-term effects that involve efficient (or not-so-efficient) learning as well as course and even vocational choices. How can math anxiety be counteracted? A first step lies in its correct diagnosis. Questionnaires for the assessment of math anxiety exist for all age groups, starting at primary education level. Help against math anxiety can be offered on different levels: by educational institutions, by teachers and a change in instructional approaches, by parents, or by the affected person. However, much more research is needed to develop effective measures against math anxiety that are tailored to an individual’s characteristics and needs.","author":[{"dropping-particle":"","family":"Luttenberger","given":"Silke","non-dropping-particle":"","parse-names":false,"suffix":""},{"dropping-particle":"","family":"Wimmer","given":"Sigrid","non-dropping-particle":"","parse-names":false,"suffix":""},{"dropping-particle":"","family":"Paechter","given":"Manuela","non-dropping-particle":"","parse-names":false,"suffix":""}],"container-title":"Psychology Research and Behavior Management","id":"ITEM-1","issued":{"date-parts":[["2018"]]},"note":"Luttenberger S, Wimmer S, Paechter M. Spotlight on math anxiety. Psychol Res Behav Manag. 2018;11:311-322 https://doi.org/10.2147/PRBM.S141421","page":"311-322","title":"Spotlight on math anxiety","type":"article-journal","volume":"11"},"uris":["http://www.mendeley.com/documents/?uuid=85649f43-f9d5-45d5-9cd1-d30893307716"]},{"id":"ITEM-2","itemData":{"DOI":"10.29333/iejme/3997","abstract":"Students’ learning of and performance in mathematics is affected by a number of factors, including students’ attitude towards the subject, teachers instructional practices, and school environment. This study was conducted to investigate students’ attitudes towards learning mathematics in Tanzania. It also sought to ascertain reasons for the liking or disliking mathematics and the relationship between attitude and performance. We employed the ABC Model and the Walberg’s Theory of Productivity to investigate students’ attitudes towards mathematics and associated factors. The quantitative and qualitative data were collected from 419 primary school students, 318 secondary school students, and 132 College students from 17 schools and 6 colleges in mainland Tanzania using a survey. The collected data were analysed using percentages, means, standard deviations, ANOVA, correlation, regression and thematic analysis. The results show that initially students exhibit a positive attitude towards mathematics, but their attitude becomes less positive as the students move forward to higher levels of education. A significant positive weak correlation between students’ attitude and performance was established. Mathematics’ enjoyment and attitude significantly predicted students’ performance in our data. The factors influencing the students’ liking or disliking of mathematics constituted student’s aptitude attribute, instructional and social psychological environmental factors. Furthermore, the results show that failure in examinations is attributed to teacher didactic strategies, institutional resources, poor learning and examination strategies, and failure to understand instructions. The results provide insights for future research and inciting changes in teaching- learning practices that would promote mathematics enjoyment and subsequent better performance in the subject","author":[{"dropping-particle":"","family":"Mazana","given":"Mzomwe Yahya","non-dropping-particle":"","parse-names":false,"suffix":""},{"dropping-particle":"","family":"Montero","given":"Calkin Suero","non-dropping-particle":"","parse-names":false,"suffix":""},{"dropping-particle":"","family":"Casmir","given":"Respickius Olifage","non-dropping-particle":"","parse-names":false,"suffix":""}],"container-title":"International Electronic Journal Of Mathematics Education","id":"ITEM-2","issue":"1","issued":{"date-parts":[["2019"]]},"page":"207-231","title":"Investigating students’ attitude towards learning mathematics","type":"article-journal","volume":"14"},"uris":["http://www.mendeley.com/documents/?uuid=b3baf597-d518-4971-990e-363af210ad31"]}],"mendeley":{"formattedCitation":"(Luttenberger et al., 2018; Mazana et al., 2019)","plainTextFormattedCitation":"(Luttenberger et al., 2018; Mazana et al., 2019)","previouslyFormattedCitation":"(Luttenberger et al., 2018; Mazana et al., 2019)"},"properties":{"noteIndex":0},"schema":"https://github.com/citation-style-language/schema/raw/master/csl-citation.json"}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(Luttenberger et al., 2018; Mazana et al., 2019)</w:t>
      </w:r>
      <w:r w:rsidR="0096578A"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p>
    <w:p w:rsidR="009005C1" w:rsidRPr="00962996" w:rsidRDefault="009005C1" w:rsidP="00962996">
      <w:pPr>
        <w:spacing w:after="0" w:line="240" w:lineRule="auto"/>
        <w:jc w:val="both"/>
        <w:rPr>
          <w:rFonts w:ascii="Times New Roman" w:hAnsi="Times New Roman" w:cs="Times New Roman"/>
          <w:sz w:val="24"/>
          <w:szCs w:val="24"/>
          <w:lang w:val="en-US"/>
        </w:rPr>
      </w:pPr>
    </w:p>
    <w:p w:rsidR="007B341D"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 xml:space="preserve">Math </w:t>
      </w:r>
      <w:r w:rsidR="00955D1A" w:rsidRPr="00962996">
        <w:rPr>
          <w:rFonts w:ascii="Times New Roman" w:hAnsi="Times New Roman" w:cs="Times New Roman"/>
          <w:b/>
          <w:bCs/>
          <w:sz w:val="24"/>
          <w:szCs w:val="24"/>
          <w:lang w:val="en-US"/>
        </w:rPr>
        <w:t>s</w:t>
      </w:r>
      <w:r w:rsidRPr="00962996">
        <w:rPr>
          <w:rFonts w:ascii="Times New Roman" w:hAnsi="Times New Roman" w:cs="Times New Roman"/>
          <w:b/>
          <w:bCs/>
          <w:sz w:val="24"/>
          <w:szCs w:val="24"/>
          <w:lang w:val="en-US"/>
        </w:rPr>
        <w:t>elf-</w:t>
      </w:r>
      <w:r w:rsidR="00955D1A" w:rsidRPr="00962996">
        <w:rPr>
          <w:rFonts w:ascii="Times New Roman" w:hAnsi="Times New Roman" w:cs="Times New Roman"/>
          <w:b/>
          <w:bCs/>
          <w:sz w:val="24"/>
          <w:szCs w:val="24"/>
          <w:lang w:val="en-US"/>
        </w:rPr>
        <w:t>e</w:t>
      </w:r>
      <w:r w:rsidRPr="00962996">
        <w:rPr>
          <w:rFonts w:ascii="Times New Roman" w:hAnsi="Times New Roman" w:cs="Times New Roman"/>
          <w:b/>
          <w:bCs/>
          <w:sz w:val="24"/>
          <w:szCs w:val="24"/>
          <w:lang w:val="en-US"/>
        </w:rPr>
        <w:t>fficacy</w:t>
      </w:r>
      <w:r w:rsidR="00955D1A" w:rsidRPr="00962996">
        <w:rPr>
          <w:rFonts w:ascii="Times New Roman" w:hAnsi="Times New Roman" w:cs="Times New Roman"/>
          <w:b/>
          <w:bCs/>
          <w:sz w:val="24"/>
          <w:szCs w:val="24"/>
          <w:lang w:val="en-US"/>
        </w:rPr>
        <w:t xml:space="preserve"> and mathematics performance</w:t>
      </w:r>
    </w:p>
    <w:p w:rsidR="00650FE2"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t>Academic achievement is often linked to self-confidence, and one of the most important aspects of self-confidence is self-efficacy</w:t>
      </w:r>
      <w:r w:rsidRPr="00962996">
        <w:rPr>
          <w:rFonts w:ascii="Times New Roman" w:hAnsi="Times New Roman" w:cs="Times New Roman"/>
          <w:sz w:val="24"/>
          <w:szCs w:val="24"/>
          <w:lang w:val="en-US"/>
        </w:rPr>
        <w:t xml:space="preserve">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{"citationItems":[{"id":"ITEM-1","itemData":{"DOI":"10.33394/mpm.v8i2.3192","ISSN":"2338-3836","abstract":"This research was conducted because the students' self-efficacy in mathematics was still low. The Brain Based Learning approach is expected to be one of the solution. The aim of our research was to define the increasing in self-efficacy of students who received the Brain Based Learning (BBL) approach in mathematics. This is a quasi-experimental study with a nonequivalent control group design. The population of this study were all students of grade VII at a junior high school in Padang City. We used purposive sampling technique to select sample study. Instrument used in the data collection was a non- test (questionnaire). Questionnaires are used to measure students' mathematical self-efficacy.The indicators of self-efficacy were used for reconstruction of questionnaire. The self-efficacy questionnaire consists of 28 questionnaire items. The questionnaire was given before and after being given treatment. The treatment given was in the form of mathematics learning based on the BBL approach. Our study showed that the increase in self-efficacy of students who learned with the BBL approach learning is significantly better than learning with the conventional approach as a whole.","author":[{"dropping-particle":"","family":"Rusyda","given":"Nurul Afifah","non-dropping-particle":"","parse-names":false,"suffix":""},{"dropping-particle":"","family":"Suherman","given":"Suherman","non-dropping-particle":"","parse-names":false,"suffix":""},{"dropping-particle":"","family":"Suhendra","given":"Suhendra","non-dropping-particle":"","parse-names":false,"suffix":""},{"dropping-particle":"","family":"Rusdinal","given":"Rusdinal","non-dropping-particle":"","parse-names":false,"suffix":""}],"container-title":"Media Pendidikan Matematika","id":"ITEM-1","issue":"2","issued":{"date-parts":[["2020"]]},"page":"74-79","title":"Meningkatkan self-efficacy matematis peserta didik pada pembelajaran matematika melalui pendekatan brain based learning","type":"article-journal","volume":"8"},"uris":["http://www.mendeley.com/documents/?uuid=f0ee2fac-e443-4127-893e-9e947ec1ad77"]},{"id":"ITEM-2","itemData":{"DOI":"10.1016/j.lindif.2018.01.008","ISSN":"18733425","abstract":"Academic self-efficacy is widely accepted as being both the cause and effect of academic achievement. However, empirical research using longitudinal data and domain-specific assessments is scarce and seems to be completely absent in domains other than mathematics. We drew on a sample of N = 1597 secondary school students in Germany and 2 measurement occasions within 1 school year to test for reciprocal effects between self-efficacy and achievement in the domains of mathematics and reading. Despite high stabilities of achievement and self-efficacy, structural equation modeling revealed positive effects of mathematics self-efficacy on later mathematics achievement and of reading achievement on later reading self-efficacy. Evidence for reciprocal effects resulted in the domain of reading from separately considering students with and without a migration background in multiple group models. The findings highlight the necessity of early interventions and a domain-specific approach.","author":[{"dropping-particle":"","family":"Schöber","given":"Christian","non-dropping-particle":"","parse-names":false,"suffix":""},{"dropping-particle":"","family":"Schütte","given":"Kerstin","non-dropping-particle":"","parse-names":false,"suffix":""},{"dropping-particle":"","family":"Köller","given":"Olaf","non-dropping-particle":"","parse-names":false,"suffix":""},{"dropping-particle":"","family":"McElvany","given":"Nele","non-dropping-particle":"","parse-names":false,"suffix":""},{"dropping-particle":"","family":"Gebauer","given":"Miriam M.","non-dropping-particle":"","parse-names":false,"suffix":""}],"container-title":"Learning and Individual Differences","id":"ITEM-2","issued":{"date-parts":[["2018"]]},"page":"1-11","title":"Reciprocal effects between self-efficacy and achievement in mathematics and reading","type":"article-journal","volume":"63"},"uris":["http://www.mendeley.com/documents/?uuid=bde64540-c7fc-4f19-8b7c-9fe1c9425ea6"]}],"mendeley":{"formattedCitation":"(Rusyda et al., 2020; Schöber et al., 2018)","plainTextFormattedCitation":"(Rusyda et al., 2020; Schöber et al., 2018)","previouslyFormattedCitation":"(Rusyda et al., 2020; Schöber et al., 2018)"},"properties":{"noteIndex":0},"schema":"https://github.com/citation-style-language/schema/raw/master/csl-citation.json"}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(Rusyda et al., 2020; Schöber et al., 2018)</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Self-efficacy refers to a consideration of how much a person believes about his ability or competence in carrying out several learning activities and his ability to complete learning tasks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{"citationItems":[{"id":"ITEM-1","itemData":{"abstract":"This study aims to determine the effect of self-efficacy and learning independence on mastery of mathematical concepts. This study uses path analysis design, with a student population of Jagakarsa District Junior High School, South Jakarta. The sampling technique used was proportional cluster random sampling with a total sample of 60 students. Path analysis techniques are used for data analysis using the SPSS version 20 application program. The results of the study prove that self-efficacy and indepenArdiansyah, A. (2018). Penguasaan konsep matematika ditinjau dari efikasi diri dan kemandirian belajar. Alfarisi: Jurnal Pendidikan MIPA, 1(1), 1–8. https://journal.lppmunindra.ac.id/index.php/alfarisi/article/view/2886dence of learning together contribute to the adoption of mathematical concepts.","author":[{"dropping-particle":"","family":"Ardiansyah","given":"Achmad","non-dropping-particle":"","parse-names":false,"suffix":""}],"container-title":"Alfarisi: Jurnal Pendidikan MIPA","id":"ITEM-1","issue":"1","issued":{"date-parts":[["2018"]]},"page":"1-8","title":"Penguasaan konsep matematika ditinjau dari efikasi diri dan kemandirian belajar","type":"article-journal","volume":"1"},"uris":["http://www.mendeley.com/documents/?uuid=7aa69bc2-7420-435a-a61f-186826748fba"]},{"id":"ITEM-2","itemData":{"DOI":"10.29210/118800","ISSN":"2337-6740","abstract":"Mathematical problem Mathematical problem solving ability is solving ability is surely surely the must-have any the must-have any students in students in doinga doinga math math problem that problem that is abstract. But many is abstract. But many ofthe students who ofthe students who have have not not been able been able to use to use the problem- the problem- solving ability in solving ability in doing a doing a math math problem. Many problem. Many of of them assumed them assumed that mathematics that mathematics is a is a difficult lesson, and it usually requires a high concentration oflearning math. So the efficacy of difficult lesson, and it usually requires a high concentration oflearning math. So the efficacy of self(selfefficacy) is in need ofstudents to cope with these problems. Self-efficacy (selfefficacy) refers self(selfefficacy) is in need ofstudents to cope with these problems. Self-efficacy (selfefficacy) refers to the to the beliefthat relates beliefthat relates to the to the ability ability and willingness of and willingness of a student to a student to achieve achieve and complete and complete tasks and results of the study with tasks and results of the study with the target time has been determined and selfefficacy refers the target time has been determined and selfefficacy refers to to the consideration ofhow big someone's beliefs about their ability to perform a number oflearning the consideration ofhow big someone's beliefs about their ability to perform a number oflearning activities and their ability to complete tasks. Students who have a good self-efficacy will be successful activities and their ability to complete tasks. Students who have a good self-efficacy will be successful in theirlearning activities andcanperform academic duties smoothly likewise viceversa ifthe efficacy in in theirlearning activities andcanperform academic duties smoothly likewise viceversa ifthe efficacy in low students then have students will quickly give up on any problems in dealing with. Hence the need low students then have students will quickly give up on any problems in dealing with. Hence the need for self-efficacy so that arise from the student is either the later will provide confidence in the ability r self-efficacy so that arise from the student is either the later will provide confidence in the ability ofstudents in solving mathematical problems.","author":[{"dropping-particle":"","family":"Somawati","given":"Somawati","non-dropping-particle":"","parse-names":false,"suffix":""}],"container-title":"Jurnal Konseling dan Pendidikan","id":"ITEM-2","issue":"1","issued":{"date-parts":[["2018"]]},"page":"39-45","title":"Peran efikasi diri (self efficacy) terhadap kemampuan pemecahan masalah matematika","type":"article-journal","volume":"6"},"uris":["http://www.mendeley.com/documents/?uuid=b0b99f72-7cc0-4db5-b9a2-74bfa58397e4"]}],"mendeley":{"formattedCitation":"(Ardiansyah, 2018; Somawati, 2018)","plainTextFormattedCitation":"(Ardiansyah, 2018; Somawati, 2018)","previouslyFormattedCitation":"(Ardiansyah, 2018; Somawati, 2018)"},"properties":{"noteIndex":0},"schema":"https://github.com/citation-style-language/schema/raw/master/csl-citation.json"}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(Ardiansyah, 2018; Somawati, 2018)</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w:t>
      </w:r>
      <w:r w:rsidR="007E3A7E" w:rsidRPr="00962996">
        <w:rPr>
          <w:rFonts w:ascii="Times New Roman" w:hAnsi="Times New Roman" w:cs="Times New Roman"/>
          <w:sz w:val="24"/>
          <w:szCs w:val="24"/>
          <w:lang w:val="en-US"/>
        </w:rPr>
        <w:t xml:space="preserve"> </w:t>
      </w:r>
      <w:r w:rsidR="005F274B" w:rsidRPr="00962996">
        <w:rPr>
          <w:rFonts w:ascii="Times New Roman" w:hAnsi="Times New Roman" w:cs="Times New Roman"/>
          <w:sz w:val="24"/>
          <w:szCs w:val="24"/>
        </w:rPr>
        <w:t>Whereas Math self-efficacy is defined as a student's belief or self-assessment of their ability to solve a particular mathematical problem and tasks related to mathematics.</w:t>
      </w:r>
      <w:r w:rsidRPr="00962996">
        <w:rPr>
          <w:rFonts w:ascii="Times New Roman" w:hAnsi="Times New Roman" w:cs="Times New Roman"/>
          <w:sz w:val="24"/>
          <w:szCs w:val="24"/>
        </w:rPr>
        <w:t xml:space="preserve">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{"citationItems":[{"id":"ITEM-1","itemData":{"DOI":"10.29103/mjml.v1i1.679","ISSN":"2620-6315","abstract":"One of the important affective factors for students in mathematics learning is self-efficacy. The students should have high mathematics self-efficacy. So, it can support the success of learning process. The facts that indicated the low of students’ mathematics self-efficacy, encouraging the efforts to improve self-efficacy through the improvement of the learning process. One of them is by applying the problem based learning approach. This research was a classroom action research by applying problem based learning approach to improve students’ mathematics self-efficacy. The classroom action research was done in two cycles. Each cycle consists of planning, action, observation, and reflection. The findings of this research revealed that the problem based learning approach could improve student’s mathematics self-efficacy. At the end of the first cycle, the students’ mathematics self-efficacy was still in the medium category and increased at the end of the second cycle, which students’ mathematics self-efficacy has been in high category.","author":[{"dropping-particle":"","family":"Masitoh","given":"Lisda Fitriana","non-dropping-particle":"","parse-names":false,"suffix":""},{"dropping-particle":"","family":"Fitriyani","given":"Harina","non-dropping-particle":"","parse-names":false,"suffix":""}],"container-title":"Malikussaleh Journal of Mathematics Learning (MJML)","id":"ITEM-1","issue":"1","issued":{"date-parts":[["2018"]]},"page":"26-30","title":"Improving students’ mathematics self-efficacy through problem based learning","type":"article-journal","volume":"1"},"uris":["http://www.mendeley.com/documents/?uuid=e6684f36-6b08-4e53-9342-721a1e53fae8"]}],"mendeley":{"formattedCitation":"(Masitoh &amp; Fitriyani, 2018)","plainTextFormattedCitation":"(Masitoh &amp; Fitriyani, 2018)","previouslyFormattedCitation":"(Masitoh &amp; Fitriyani, 2018)"},"properties":{"noteIndex":0},"schema":"https://github.com/citation-style-language/schema/raw/master/csl-citation.json"}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(Masitoh &amp; Fitriyani, 2018)</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w:t>
      </w:r>
    </w:p>
    <w:p w:rsidR="00A038E5"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fldChar w:fldCharType="begin" w:fldLock="1"/>
      </w:r>
      <w:r w:rsidRPr="00962996">
        <w:rPr>
          <w:rFonts w:ascii="Times New Roman" w:hAnsi="Times New Roman" w:cs="Times New Roman"/>
          <w:sz w:val="24"/>
          <w:szCs w:val="24"/>
        </w:rPr>
        <w:instrText>ADDIN CSL_CITATION {"citationItems":[{"id":"ITEM-1","itemData":{"DOI":"10.1016/j.lindif.2018.01.008","ISSN":"18733425","abstract":"Academic self-efficacy is widely accepted as being both the cause and effect of academic achievement. However, empirical research using longitudinal data and domain-specific assessments is scarce and seems to be completely absent in domains other than mathematics. We drew on a sample of N = 1597 secondary school students in Germany and 2 measurement occasions within 1 school year to test for reciprocal effects between self-efficacy and achievement in the domains of mathematics and reading. Despite high stabilities of achievement and self-efficacy, structural equation modeling revealed positive effects of mathematics self-efficacy on later mathematics achievement and of reading achievement on later reading self-efficacy. Evidence for reciprocal effects resulted in the domain of reading from separately considering students with and without a migration background in multiple group models. The findings highlight the necessity of early interventions and a domain-specific approach.","author":[{"dropping-particle":"","family":"Schöber","given":"Christian","non-dropping-particle":"","parse-names":false,"suffix":""},{"dropping-particle":"","family":"Schütte","given":"Kerstin","non-dropping-particle":"","parse-names":false,"suffix":""},{"dropping-particle":"","family":"Köller","given":"Olaf","non-dropping-particle":"","parse-names":false,"suffix":""},{"dropping-particle":"","family":"McElvany","given":"Nele","non-dropping-particle":"","parse-names":false,"suffix":""},{"dropping-particle":"","family":"Gebauer","given":"Miriam M.","non-dropping-particle":"","parse-names":false,"suffix":""}],"container-title":"Learning and Individual Differences","id":"ITEM-1","issued":{"date-parts":[["2018"]]},"page":"1-11","title":"Reciprocal effects between self-efficacy and achievement in mathematics and reading","type":"article-journal","volume":"63"},"uris":["http://www.mendeley.com/documents/?uuid=bde64540-c7fc-4f19-8b7c-9fe1c9425ea6"]}],"mendeley":{"formattedCitation":"(Schöber et al., 2018)","manualFormatting":"Schöber et al. (2018)","plainTextFormattedCitation":"(Schöber et al., 2018)","previouslyFormattedCitation":"(Schöber et al., 2018)"},"properties":{"noteIndex":0},"schema":"https://github.com/citation-style-language/schema/raw/master/csl-citation.json"}</w:instrText>
      </w:r>
      <w:r w:rsidRPr="00962996">
        <w:rPr>
          <w:rFonts w:ascii="Times New Roman" w:hAnsi="Times New Roman" w:cs="Times New Roman"/>
          <w:sz w:val="24"/>
          <w:szCs w:val="24"/>
        </w:rPr>
        <w:fldChar w:fldCharType="separate"/>
      </w:r>
      <w:r w:rsidRPr="00962996">
        <w:rPr>
          <w:rFonts w:ascii="Times New Roman" w:hAnsi="Times New Roman" w:cs="Times New Roman"/>
          <w:noProof/>
          <w:sz w:val="24"/>
          <w:szCs w:val="24"/>
        </w:rPr>
        <w:t xml:space="preserve">Schöber et al. </w:t>
      </w:r>
      <w:r w:rsidRPr="00962996">
        <w:rPr>
          <w:rFonts w:ascii="Times New Roman" w:hAnsi="Times New Roman" w:cs="Times New Roman"/>
          <w:noProof/>
          <w:sz w:val="24"/>
          <w:szCs w:val="24"/>
          <w:lang w:val="en-US"/>
        </w:rPr>
        <w:t>(</w:t>
      </w:r>
      <w:r w:rsidRPr="00962996">
        <w:rPr>
          <w:rFonts w:ascii="Times New Roman" w:hAnsi="Times New Roman" w:cs="Times New Roman"/>
          <w:noProof/>
          <w:sz w:val="24"/>
          <w:szCs w:val="24"/>
        </w:rPr>
        <w:t>2018)</w:t>
      </w:r>
      <w:r w:rsidRPr="00962996">
        <w:rPr>
          <w:rFonts w:ascii="Times New Roman" w:hAnsi="Times New Roman" w:cs="Times New Roman"/>
          <w:sz w:val="24"/>
          <w:szCs w:val="24"/>
        </w:rPr>
        <w:fldChar w:fldCharType="end"/>
      </w:r>
      <w:r w:rsidRPr="00962996">
        <w:rPr>
          <w:rFonts w:ascii="Times New Roman" w:hAnsi="Times New Roman" w:cs="Times New Roman"/>
          <w:sz w:val="24"/>
          <w:szCs w:val="24"/>
          <w:lang w:val="en-US"/>
        </w:rPr>
        <w:t xml:space="preserve"> </w:t>
      </w:r>
      <w:r w:rsidR="005F274B" w:rsidRPr="00962996">
        <w:rPr>
          <w:rFonts w:ascii="Times New Roman" w:hAnsi="Times New Roman" w:cs="Times New Roman"/>
          <w:sz w:val="24"/>
          <w:szCs w:val="24"/>
          <w:lang w:val="en-US"/>
        </w:rPr>
        <w:t>found that there is a positive reciprocal effect between math self-efficacy and math and reading achievement</w:t>
      </w:r>
      <w:r w:rsidR="00650FE2" w:rsidRPr="00962996">
        <w:rPr>
          <w:rFonts w:ascii="Times New Roman" w:hAnsi="Times New Roman" w:cs="Times New Roman"/>
          <w:sz w:val="24"/>
          <w:szCs w:val="24"/>
        </w:rPr>
        <w:t xml:space="preserve">. </w:t>
      </w:r>
      <w:r w:rsidR="005F274B" w:rsidRPr="00962996">
        <w:rPr>
          <w:rFonts w:ascii="Times New Roman" w:hAnsi="Times New Roman" w:cs="Times New Roman"/>
          <w:sz w:val="24"/>
          <w:szCs w:val="24"/>
        </w:rPr>
        <w:t>Students who have higher math self-efficacy tend to perform well on math achievement tests</w:t>
      </w:r>
      <w:r w:rsidR="00650FE2" w:rsidRPr="00962996">
        <w:rPr>
          <w:rFonts w:ascii="Times New Roman" w:hAnsi="Times New Roman" w:cs="Times New Roman"/>
          <w:sz w:val="24"/>
          <w:szCs w:val="24"/>
        </w:rPr>
        <w:t xml:space="preserve"> </w:t>
      </w:r>
      <w:r w:rsidRPr="00962996">
        <w:rPr>
          <w:rFonts w:ascii="Times New Roman" w:hAnsi="Times New Roman" w:cs="Times New Roman"/>
          <w:sz w:val="24"/>
          <w:szCs w:val="24"/>
        </w:rPr>
        <w:fldChar w:fldCharType="begin" w:fldLock="1"/>
      </w:r>
      <w:r w:rsidRPr="00962996">
        <w:rPr>
          <w:rFonts w:ascii="Times New Roman" w:hAnsi="Times New Roman" w:cs="Times New Roman"/>
          <w:sz w:val="24"/>
          <w:szCs w:val="24"/>
        </w:rPr>
        <w:instrText>ADDIN CSL_CITATION {"citationItems":[{"id":"ITEM-1","itemData":{"DOI":"10.1016/j.chb.2016.11.063","ISSN":"07475632","abstract":"With increasingly sophisticated information and communications technologies in the modern era, technology is considered to be an important agent for children's perceptual and cognitive skill development. Yet, research on the effect of technology on students' academic learning is inconclusive because there is a longstanding debate about the impact of internet use and video gameplay on student learning achievement. This study examined the relationships between math self-efficacy, extracurricular technology-related activities (TRAs) and Canadian sixth graders' math achievement. Using large-scale student survey and test performance data (N = 26,767), we examined the latent structural relationship between the TRAs (e.g., video gameplay, internet use and TV viewing) and math achievement by taking into account students' self-efficacy as a mediator. Results from structural equation modeling confirmed our hypotheses indicating the negative direct effects of TRAs on math achievement and a positive mediating effect of math self-efficacy on the relationship between video gameplay and math achievement. We also observed negative indirect effects of TV reviewing and internet use on math achievement via math self-efficacy. This study emphasizes the critical interaction between students' psychological orientations and external digital surroundings on their academic achievement.","author":[{"dropping-particle":"","family":"Xu","given":"Zhenhua","non-dropping-particle":"","parse-names":false,"suffix":""},{"dropping-particle":"","family":"Jang","given":"Eunice Eunhee","non-dropping-particle":"","parse-names":false,"suffix":""}],"container-title":"Computers in Human Behavior","id":"ITEM-1","issued":{"date-parts":[["2017"]]},"note":"55","page":"547-555","publisher":"Elsevier Ltd","title":"The role of math self-efficacy in the structural model of extracurricular technology-related activities and junior elementary school students' mathematics ability","type":"article-journal","volume":"68"},"uris":["http://www.mendeley.com/documents/?uuid=6f18813d-9f79-40dc-8919-ac9f869e9c79"]}],"mendeley":{"formattedCitation":"(Xu &amp; Jang, 2017)","plainTextFormattedCitation":"(Xu &amp; Jang, 2017)","previouslyFormattedCitation":"(Xu &amp; Jang, 2017)"},"properties":{"noteIndex":0},"schema":"https://github.com/citation-style-language/schema/raw/master/csl-citation.json"}</w:instrText>
      </w:r>
      <w:r w:rsidRPr="00962996">
        <w:rPr>
          <w:rFonts w:ascii="Times New Roman" w:hAnsi="Times New Roman" w:cs="Times New Roman"/>
          <w:sz w:val="24"/>
          <w:szCs w:val="24"/>
        </w:rPr>
        <w:fldChar w:fldCharType="separate"/>
      </w:r>
      <w:r w:rsidRPr="00962996">
        <w:rPr>
          <w:rFonts w:ascii="Times New Roman" w:hAnsi="Times New Roman" w:cs="Times New Roman"/>
          <w:noProof/>
          <w:sz w:val="24"/>
          <w:szCs w:val="24"/>
        </w:rPr>
        <w:t>(Xu &amp; Jang, 2017)</w:t>
      </w:r>
      <w:r w:rsidRPr="00962996">
        <w:rPr>
          <w:rFonts w:ascii="Times New Roman" w:hAnsi="Times New Roman" w:cs="Times New Roman"/>
          <w:sz w:val="24"/>
          <w:szCs w:val="24"/>
        </w:rPr>
        <w:fldChar w:fldCharType="end"/>
      </w:r>
      <w:r w:rsidR="00650FE2" w:rsidRPr="00962996">
        <w:rPr>
          <w:rFonts w:ascii="Times New Roman" w:hAnsi="Times New Roman" w:cs="Times New Roman"/>
          <w:sz w:val="24"/>
          <w:szCs w:val="24"/>
        </w:rPr>
        <w:t xml:space="preserve">. </w:t>
      </w:r>
      <w:r w:rsidR="005F274B" w:rsidRPr="00962996">
        <w:rPr>
          <w:rFonts w:ascii="Times New Roman" w:hAnsi="Times New Roman" w:cs="Times New Roman"/>
          <w:sz w:val="24"/>
          <w:szCs w:val="24"/>
        </w:rPr>
        <w:t>Additionally, students who have high math self-efficacy can obtain better math performance</w:t>
      </w:r>
      <w:r w:rsidR="005F274B"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rPr>
        <w:fldChar w:fldCharType="begin" w:fldLock="1"/>
      </w:r>
      <w:r w:rsidRPr="00962996">
        <w:rPr>
          <w:rFonts w:ascii="Times New Roman" w:hAnsi="Times New Roman" w:cs="Times New Roman"/>
          <w:sz w:val="24"/>
          <w:szCs w:val="24"/>
        </w:rPr>
        <w:instrText>ADDIN CSL_CITATION {"citationItems":[{"id":"ITEM-1","itemData":{"DOI":"10.18844/cjes.v14i2.3766","abstract":"This study investigated secondary school sixth, seventh and eighth graders’ self-efficacy beliefs, engagement and disaffection in Math lessons and academic achievement in relation to learning Mathematics and Math performance. The study was conducted with the voluntary participation of 651 sixth, seventh and eighth graders attending secondary school. Research data were collected with the help of ‘Engagement and Disaffection Scale’, ‘Self-Efficacy sub dimension’ of ‘Motivation Scale’ related to learning and performance and students’ Math first semester grades. It was identified in the study that students’ self-efficacy beliefs in learning and performance in Math significantly and positively predicted their Math achievement. Behavioural and affective disaffection in Math lessons were found to predict Math achievement negatively. It was determined in the study that students’ self-efficacy beliefs related to learning and performance in Math significantly predicted their behavioural and affective engagement in Math positively while predicting their behavioural and affective disaffection negatively.","author":[{"dropping-particle":"","family":"Ozkal","given":"Nese","non-dropping-particle":"","parse-names":false,"suffix":""}],"container-title":"Cypriot Journal of Educational Sciences","id":"ITEM-1","issue":"2","issued":{"date-parts":[["2019"]]},"page":"190-200","title":"Relationships between self-efficacy beliefs, enggagement and academic performance in math lessons","type":"article-journal","volume":"14"},"uris":["http://www.mendeley.com/documents/?uuid=7710f921-7a32-4881-b2eb-a352159557b8"]}],"mendeley":{"formattedCitation":"(Ozkal, 2019)","plainTextFormattedCitation":"(Ozkal, 2019)","previouslyFormattedCitation":"(Ozkal, 2019)"},"properties":{"noteIndex":0},"schema":"https://github.com/citation-style-language/schema/raw/master/csl-citation.json"}</w:instrText>
      </w:r>
      <w:r w:rsidRPr="00962996">
        <w:rPr>
          <w:rFonts w:ascii="Times New Roman" w:hAnsi="Times New Roman" w:cs="Times New Roman"/>
          <w:sz w:val="24"/>
          <w:szCs w:val="24"/>
        </w:rPr>
        <w:fldChar w:fldCharType="separate"/>
      </w:r>
      <w:r w:rsidRPr="00962996">
        <w:rPr>
          <w:rFonts w:ascii="Times New Roman" w:hAnsi="Times New Roman" w:cs="Times New Roman"/>
          <w:noProof/>
          <w:sz w:val="24"/>
          <w:szCs w:val="24"/>
        </w:rPr>
        <w:t>(Ozkal, 2019)</w:t>
      </w:r>
      <w:r w:rsidRPr="00962996">
        <w:rPr>
          <w:rFonts w:ascii="Times New Roman" w:hAnsi="Times New Roman" w:cs="Times New Roman"/>
          <w:sz w:val="24"/>
          <w:szCs w:val="24"/>
        </w:rPr>
        <w:fldChar w:fldCharType="end"/>
      </w:r>
      <w:r w:rsidR="00650FE2" w:rsidRPr="00962996">
        <w:rPr>
          <w:rFonts w:ascii="Times New Roman" w:hAnsi="Times New Roman" w:cs="Times New Roman"/>
          <w:sz w:val="24"/>
          <w:szCs w:val="24"/>
        </w:rPr>
        <w:t xml:space="preserve">, </w:t>
      </w:r>
      <w:r w:rsidR="005F274B" w:rsidRPr="00962996">
        <w:rPr>
          <w:rFonts w:ascii="Times New Roman" w:hAnsi="Times New Roman" w:cs="Times New Roman"/>
          <w:sz w:val="24"/>
          <w:szCs w:val="24"/>
        </w:rPr>
        <w:t>and can make students more motivated during the learning process</w:t>
      </w:r>
      <w:r w:rsidR="00650FE2" w:rsidRPr="00962996">
        <w:rPr>
          <w:rFonts w:ascii="Times New Roman" w:hAnsi="Times New Roman" w:cs="Times New Roman"/>
          <w:sz w:val="24"/>
          <w:szCs w:val="24"/>
        </w:rPr>
        <w:t xml:space="preserve"> </w:t>
      </w:r>
      <w:r w:rsidRPr="00962996">
        <w:rPr>
          <w:rFonts w:ascii="Times New Roman" w:hAnsi="Times New Roman" w:cs="Times New Roman"/>
          <w:sz w:val="24"/>
          <w:szCs w:val="24"/>
        </w:rPr>
        <w:fldChar w:fldCharType="begin" w:fldLock="1"/>
      </w:r>
      <w:r w:rsidRPr="00962996">
        <w:rPr>
          <w:rFonts w:ascii="Times New Roman" w:hAnsi="Times New Roman" w:cs="Times New Roman"/>
          <w:sz w:val="24"/>
          <w:szCs w:val="24"/>
        </w:rPr>
        <w:instrText>ADDIN CSL_CITATION {"citationItems":[{"id":"ITEM-1","itemData":{"DOI":"10.29103/mjml.v1i1.679","ISSN":"2620-6315","abstract":"One of the important affective factors for students in mathematics learning is self-efficacy. The students should have high mathematics self-efficacy. So, it can support the success of learning process. The facts that indicated the low of students’ mathematics self-efficacy, encouraging the efforts to improve self-efficacy through the improvement of the learning process. One of them is by applying the problem based learning approach. This research was a classroom action research by applying problem based learning approach to improve students’ mathematics self-efficacy. The classroom action research was done in two cycles. Each cycle consists of planning, action, observation, and reflection. The findings of this research revealed that the problem based learning approach could improve student’s mathematics self-efficacy. At the end of the first cycle, the students’ mathematics self-efficacy was still in the medium category and increased at the end of the second cycle, which students’ mathematics self-efficacy has been in high category.","author":[{"dropping-particle":"","family":"Masitoh","given":"Lisda Fitriana","non-dropping-particle":"","parse-names":false,"suffix":""},{"dropping-particle":"","family":"Fitriyani","given":"Harina","non-dropping-particle":"","parse-names":false,"suffix":""}],"container-title":"Malikussaleh Journal of Mathematics Learning (MJML)","id":"ITEM-1","issue":"1","issued":{"date-parts":[["2018"]]},"page":"26-30","title":"Improving students’ mathematics self-efficacy through problem based learning","type":"article-journal","volume":"1"},"uris":["http://www.mendeley.com/documents/?uuid=e6684f36-6b08-4e53-9342-721a1e53fae8"]}],"mendeley":{"formattedCitation":"(Masitoh &amp; Fitriyani, 2018)","plainTextFormattedCitation":"(Masitoh &amp; Fitriyani, 2018)","previouslyFormattedCitation":"(Masitoh &amp; Fitriyani, 2018)"},"properties":{"noteIndex":0},"schema":"https://github.com/citation-style-language/schema/raw/master/csl-citation.json"}</w:instrText>
      </w:r>
      <w:r w:rsidRPr="00962996">
        <w:rPr>
          <w:rFonts w:ascii="Times New Roman" w:hAnsi="Times New Roman" w:cs="Times New Roman"/>
          <w:sz w:val="24"/>
          <w:szCs w:val="24"/>
        </w:rPr>
        <w:fldChar w:fldCharType="separate"/>
      </w:r>
      <w:r w:rsidRPr="00962996">
        <w:rPr>
          <w:rFonts w:ascii="Times New Roman" w:hAnsi="Times New Roman" w:cs="Times New Roman"/>
          <w:noProof/>
          <w:sz w:val="24"/>
          <w:szCs w:val="24"/>
        </w:rPr>
        <w:t>(Masitoh &amp; Fitriyani, 2018)</w:t>
      </w:r>
      <w:r w:rsidRPr="00962996">
        <w:rPr>
          <w:rFonts w:ascii="Times New Roman" w:hAnsi="Times New Roman" w:cs="Times New Roman"/>
          <w:sz w:val="24"/>
          <w:szCs w:val="24"/>
        </w:rPr>
        <w:fldChar w:fldCharType="end"/>
      </w:r>
      <w:r w:rsidR="00650FE2" w:rsidRPr="00962996">
        <w:rPr>
          <w:rFonts w:ascii="Times New Roman" w:hAnsi="Times New Roman" w:cs="Times New Roman"/>
          <w:sz w:val="24"/>
          <w:szCs w:val="24"/>
        </w:rPr>
        <w:t xml:space="preserve">. </w:t>
      </w:r>
      <w:r w:rsidR="005F274B" w:rsidRPr="00962996">
        <w:rPr>
          <w:rFonts w:ascii="Times New Roman" w:hAnsi="Times New Roman" w:cs="Times New Roman"/>
          <w:sz w:val="24"/>
          <w:szCs w:val="24"/>
        </w:rPr>
        <w:t>Thus, if students have high math self-efficacy, their math performance will also improve and ultimately make their math achievement better</w:t>
      </w:r>
      <w:r w:rsidR="00650FE2" w:rsidRPr="00962996">
        <w:rPr>
          <w:rFonts w:ascii="Times New Roman" w:hAnsi="Times New Roman" w:cs="Times New Roman"/>
          <w:sz w:val="24"/>
          <w:szCs w:val="24"/>
        </w:rPr>
        <w:t>.</w:t>
      </w:r>
    </w:p>
    <w:p w:rsidR="00650FE2" w:rsidRPr="00962996" w:rsidRDefault="00650FE2" w:rsidP="00962996">
      <w:pPr>
        <w:spacing w:after="0" w:line="240" w:lineRule="auto"/>
        <w:jc w:val="both"/>
        <w:rPr>
          <w:rFonts w:ascii="Times New Roman" w:hAnsi="Times New Roman" w:cs="Times New Roman"/>
          <w:sz w:val="24"/>
          <w:szCs w:val="24"/>
        </w:rPr>
      </w:pPr>
    </w:p>
    <w:p w:rsidR="009E554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Math anxiety and math-self efficacy</w:t>
      </w:r>
    </w:p>
    <w:p w:rsidR="00517578"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Students' feelings of efficacy play an important role in generating anxiety in students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{"citationItems":[{"id":"ITEM-1","itemData":{"ISBN":"0889-8391","author":[{"dropping-particle":"","family":"Bandura","given":"Albert","non-dropping-particle":"","parse-names":false,"suffix":""},{"dropping-particle":"","family":"Freeman","given":"William H","non-dropping-particle":"","parse-names":false,"suffix":""},{"dropping-particle":"","family":"Lightsey","given":"Richard","non-dropping-particle":"","parse-names":false,"suffix":""}],"id":"ITEM-1","issued":{"date-parts":[["1999"]]},"publisher":"Springer","title":"Self-efficacy: The exercise of control","type":"article"},"uris":["http://www.mendeley.com/documents/?uuid=aa81703a-4b77-4495-86f9-d489cacba263"]},{"id":"ITEM-2","itemData":{"DOI":"10.1016/j.ijer.2020.101648","ISSN":"08830355","abstract":"This study investigates the mediating roles of self-efficacy and mathematics anxiety on the effects of mathematics interest on mathematics achievement. A total of 158161 eighth grade students from 4 province of China participated in the large-scale survey. The findings reveal that (1) mathematics interest had a direct and positive effect on students’ mathematics achievement; (2) the positive relationship between mathematics interest and mathematics achievement was partially mediated by self-efficacy; (3) self-efficacy and then mathematics anxiety serially mediated the relationship between mathematics interest and mathematics achievement, but the effect of self-efficacy on mathematics anxiety was relatively smaller. Implications for mathematics education and suggestions for future study are discussed.","author":[{"dropping-particle":"","family":"Zhang","given":"Di","non-dropping-particle":"","parse-names":false,"suffix":""},{"dropping-particle":"","family":"Wang","given":"Chan","non-dropping-particle":"","parse-names":false,"suffix":""}],"container-title":"International Journal of Educational Research","id":"ITEM-2","issue":"101648","issued":{"date-parts":[["2020"]]},"page":"1-9","publisher":"Elsevier","title":"The relationship between mathematics interest and mathematics achievement: Mediating roles of self-efficacy and mathematics anxiety","type":"article-journal","volume":"104"},"uris":["http://www.mendeley.com/documents/?uuid=24f5ba18-8143-4781-aa74-7cc3c68b32c0"]}],"mendeley":{"formattedCitation":"(Bandura et al., 1999; D. Zhang &amp; Wang, 2020)","plainTextFormattedCitation":"(Bandura et al., 1999; D. Zhang &amp; Wang, 2020)","previouslyFormattedCitation":"(Bandura et al., 1999; D. Zhang &amp; Wang, 2020)"},"properties":{"noteIndex":0},"schema":"https://github.com/citation-style-language/schema/raw/master/csl-citation.json"}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(Bandura et al., 1999; D. Zhang &amp; Wang, 2020)</w:t>
      </w:r>
      <w:r w:rsidR="0096578A" w:rsidRPr="00962996">
        <w:rPr>
          <w:rFonts w:ascii="Times New Roman" w:hAnsi="Times New Roman" w:cs="Times New Roman"/>
          <w:sz w:val="24"/>
          <w:szCs w:val="24"/>
          <w:lang w:val="en-US"/>
        </w:rPr>
        <w:fldChar w:fldCharType="end"/>
      </w:r>
      <w:r w:rsidR="006B7ED4"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 xml:space="preserve">The more an individual feels unsure of their abilities, the more anxious they will feel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{"citationItems":[{"id":"ITEM-1","itemData":{"DOI":"10.30605/proximal.v5i2","abstract":"The purpose of this research was to determine how the relationship between self-efficacy and math anxiety on students’ critical thinking skills. The method used in this research is a correlational method with a quantitative approach using a population consisting of 144 students of class XI MIPA SMA Negeri 2 Tambun Utara, while with the cluster random sampling technique using the slovin formula a sample of 106 student of class XI SMA Negeri 2 Tambun Utara in the academic year 2021/2022. The instrument used consisted of a student’s critical thinking ability test with 8 questions and non-test in the form a selff-efficacy questionnaire with 21 statements and a mathematics anxiety questionnaire with 30 statements. The data analysis technique used multiple linear regression by calculating the coeffient of determination and testing the significance of the hypothesis with the F test and T test at a significant level of 5%. The results showed that the coefficient of determination was 0,053 or 5,3% while the remaining 94,7% was influenced by othe factors. In addition, based on the results of hypothesis testing using the F test, it can be concluded that self-efficacy and math anxiety have a strong relationship with their critical thinking skills. While the results of hypothesis testing with T test show there is no corellation between self- efficacy and critical thinking skills in students. And with the T test also obtained, it can be concluded that there is no corellation between mathematics anxiety and students’ critical thinking skills.","author":[{"dropping-particle":"","family":"Fitriyani","given":"Lutfia","non-dropping-particle":"","parse-names":false,"suffix":""},{"dropping-particle":"","family":"Miatun","given":"Asih","non-dropping-particle":"","parse-names":false,"suffix":""}],"container-title":"Proximal: Jurnal Penelitihan Matematika dan Pendidikan Matematika","id":"ITEM-1","issue":"2","issued":{"date-parts":[["2022"]]},"page":"168-180","title":"Efikasi diri dan kecemasan matematika hubungannya dengan kemampuan berpikir kritis siswa kelas xi mipa","type":"article-journal","volume":"5"},"uris":["http://www.mendeley.com/documents/?uuid=606fabd1-bbf2-420d-b6be-38cf0bffc9f7"]},{"id":"ITEM-2","itemData":{"author":[{"dropping-particle":"","family":"Sujarwo","given":"Sawi","non-dropping-particle":"","parse-names":false,"suffix":""}],"container-title":"Jurnal Ilmiah PSYCHE","id":"ITEM-2","issue":"1","issued":{"date-parts":[["2014"]]},"page":"63","title":"Hubungan antara efikasi diri dengan kecemasan belajar matematika pada siswa ips kelas i sma karya ibu palembang","type":"article-journal","volume":"8"},"uris":["http://www.mendeley.com/documents/?uuid=58a42966-30a3-429c-920e-121f61d24c46"]}],"mendeley":{"formattedCitation":"(Fitriyani &amp; Miatun, 2022; Sujarwo, 2014)","plainTextFormattedCitation":"(Fitriyani &amp; Miatun, 2022; Sujarwo, 2014)","previouslyFormattedCitation":"(Fitriyani &amp; Miatun, 2022; Sujarwo, 2014)"},"properties":{"noteIndex":0},"schema":"https://github.com/citation-style-language/schema/raw/master/csl-citation.json"}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(Fitriyani &amp; Miatun, 2022; Sujarwo, 2014)</w:t>
      </w:r>
      <w:r w:rsidR="0096578A" w:rsidRPr="00962996">
        <w:rPr>
          <w:rFonts w:ascii="Times New Roman" w:hAnsi="Times New Roman" w:cs="Times New Roman"/>
          <w:sz w:val="24"/>
          <w:szCs w:val="24"/>
          <w:lang w:val="en-US"/>
        </w:rPr>
        <w:fldChar w:fldCharType="end"/>
      </w:r>
      <w:r w:rsidR="006B7ED4"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Previous research found that high math anxiety can cause low math self-efficacy and vice versa</w:t>
      </w:r>
      <w:r w:rsidR="006B7ED4" w:rsidRPr="00962996">
        <w:rPr>
          <w:rFonts w:ascii="Times New Roman" w:hAnsi="Times New Roman" w:cs="Times New Roman"/>
          <w:sz w:val="24"/>
          <w:szCs w:val="24"/>
          <w:lang w:val="en-US"/>
        </w:rPr>
        <w:t xml:space="preserve">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{"citationItems":[{"id":"ITEM-1","itemData":{"DOI":"10.1016/j.lindif.2021.102060","ISSN":"18733425","abstract":"The present study examined the reciprocal relations among mathematics interest (MI), mathematics anxiety (MA), mathematics self-efficacy (MSE) and mathematics achievement of primary school students. Based on longitudinal data from 2789 participants, general latent variable modeling framework was used to explore reciprocal effects. The results indicated that (a) prior mathematics achievement positively predicted later MI, whereas previous MI did not affect subsequent mathematics achievement; (b) there was a bidirectional relationship between MA and mathematics achievement as well as MSE and mathematics achievement; (c) prior MA and MSE significantly predicted later MI, whereas the opposite was not; and (d) MA and MSE were reciprocally linked over time. These research results emphasized the importance of developing students' positive mathematical attitudes, emotions and beliefs and shed light on primary school students' mathematics learning in China.","author":[{"dropping-particle":"","family":"Du","given":"Changhong","non-dropping-particle":"","parse-names":false,"suffix":""},{"dropping-particle":"","family":"Qin","given":"Kexin","non-dropping-particle":"","parse-names":false,"suffix":""},{"dropping-particle":"","family":"Wang","given":"Yehui","non-dropping-particle":"","parse-names":false,"suffix":""},{"dropping-particle":"","family":"Xin","given":"Tao","non-dropping-particle":"","parse-names":false,"suffix":""}],"container-title":"Learning and Individual Differences","id":"ITEM-1","issue":"102060","issued":{"date-parts":[["2021"]]},"page":"1-8","publisher":"Elsevier Inc.","title":"Mathematics interest, anxiety, self-efficacy and achievement: Examining reciprocal relations","type":"article-journal","volume":"91"},"uris":["http://www.mendeley.com/documents/?uuid=abf00351-dd77-4ec3-8dc2-d3a896f7dc75"]},{"id":"ITEM-2","itemData":{"DOI":"10.3389/fpsyg.2019.01721","ISSN":"16641078","abstract":"The goal of the current study is to examine the direct and indirect influences of parenting styles, math self-efficacy and the participants' sex on math anxiety. The research population included N=204 randomly selected participants, whose native language is Hebrew and were born in Israel. The participants filled out four measures that served as the research tools; a demographic questionnaire, a math anxiety questionnaire, a parenting style questionnaire about the mother of the child, and a math self-efficacy questionnaire. The research data concluded that there were strong correlations between the Authoritarian parenting style and math anxiety. The Authoritative parenting style had both a direct positive correlation and an indirect negative correlation on math anxiety. This is in contrast to the permissive parenting style which was exclusively found to have small positive correlation on math anxiety. The participant's sex had both direct and indirect influences on math anxiety. Math anxiety levels, as well as the negative effects of self-efficacy on the level of math anxiety, were higher in females compared to males. These findings are relevant when considering methods of diagnosis and intervention surrounding math anxiety; increased math anxiety in females suggests that they should have increased instances of diagnosis and intervention.","author":[{"dropping-particle":"","family":"Macmull","given":"Moran S.","non-dropping-particle":"","parse-names":false,"suffix":""},{"dropping-particle":"","family":"Ashkenazi","given":"Sarit","non-dropping-particle":"","parse-names":false,"suffix":""}],"container-title":"Frontiers in Psychology","id":"ITEM-2","issue":"1721","issued":{"date-parts":[["2019"]]},"page":"1-12","title":"Math anxiety: The relationship between parenting style and math self-efficacy","type":"article-journal","volume":"10"},"uris":["http://www.mendeley.com/documents/?uuid=ddd342c2-f96b-46ed-9770-23d8c18bb4d8"]}],"mendeley":{"formattedCitation":"(Du et al., 2021; Macmull &amp; Ashkenazi, 2019)","plainTextFormattedCitation":"(Du et al., 2021; Macmull &amp; Ashkenazi, 2019)","previouslyFormattedCitation":"(Du et al., 2021; Macmull &amp; Ashkenazi, 2019)"},"properties":{"noteIndex":0},"schema":"https://github.com/citation-style-language/schema/raw/master/csl-citation.json"}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(Du et al., 2021; Macmull &amp; Ashkenazi, 2019)</w:t>
      </w:r>
      <w:r w:rsidR="0096578A" w:rsidRPr="00962996">
        <w:rPr>
          <w:rFonts w:ascii="Times New Roman" w:hAnsi="Times New Roman" w:cs="Times New Roman"/>
          <w:sz w:val="24"/>
          <w:szCs w:val="24"/>
          <w:lang w:val="en-US"/>
        </w:rPr>
        <w:fldChar w:fldCharType="end"/>
      </w:r>
      <w:r w:rsidR="006B7ED4" w:rsidRPr="00962996">
        <w:rPr>
          <w:rFonts w:ascii="Times New Roman" w:hAnsi="Times New Roman" w:cs="Times New Roman"/>
          <w:sz w:val="24"/>
          <w:szCs w:val="24"/>
          <w:lang w:val="en-US"/>
        </w:rPr>
        <w:t>.</w:t>
      </w:r>
      <w:r w:rsidR="007B72AF" w:rsidRPr="00962996">
        <w:rPr>
          <w:rFonts w:ascii="Times New Roman" w:hAnsi="Times New Roman" w:cs="Times New Roman"/>
          <w:sz w:val="24"/>
          <w:szCs w:val="24"/>
          <w:lang w:val="en-US"/>
        </w:rPr>
        <w:t xml:space="preserve"> </w:t>
      </w:r>
    </w:p>
    <w:p w:rsidR="008227D6"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fldChar w:fldCharType="begin" w:fldLock="1"/>
      </w:r>
      <w:r w:rsidRPr="00962996">
        <w:rPr>
          <w:rFonts w:ascii="Times New Roman" w:hAnsi="Times New Roman" w:cs="Times New Roman"/>
          <w:sz w:val="24"/>
          <w:szCs w:val="24"/>
          <w:lang w:val="en-US"/>
        </w:rPr>
        <w:instrText>ADDIN CSL_CITATION {"citationItems":[{"id":"ITEM-1","itemData":{"DOI":"10.1111/cdev.13347","ISSN":"14678624","PMID":"31845326","abstract":"Children with negative competence beliefs often achieve below their potential in school. This randomized field experiment tested whether engaging in positive self-talk may benefit these children’s mathematics performance. Participants (N = 212, Grades 4–6, Mage = 10.6) worked on the first half of a standardized mathematics test, engaged in effort self-talk (“I will do my very best!”), ability self-talk (“I am very good at this!”), or no self-talk, and worked on the second half of the test. Compared to both the conditions, effort self-talk benefited the performance of children holding negative competence beliefs: It severed the association between negative competence beliefs and poor performance. By internally asserting that they will deliver effort, children with negative competence beliefs can optimize their achievement in school.","author":[{"dropping-particle":"","family":"Thomaes","given":"Sander","non-dropping-particle":"","parse-names":false,"suffix":""},{"dropping-particle":"","family":"Tjaarda","given":"Iris Charlotte","non-dropping-particle":"","parse-names":false,"suffix":""},{"dropping-particle":"","family":"Brummelman","given":"Eddie","non-dropping-particle":"","parse-names":false,"suffix":""},{"dropping-particle":"","family":"Sedikides","given":"Constantine","non-dropping-particle":"","parse-names":false,"suffix":""}],"container-title":"Child Development","id":"ITEM-1","issue":"6","issued":{"date-parts":[["2020"]]},"page":"2211-2220","title":"Effort self-talk benefits the mathematics performance of children with negative competence beliefs","type":"article-journal","volume":"91"},"uris":["http://www.mendeley.com/documents/?uuid=13905582-8518-4a51-88be-de20900b0b4e"]}],"mendeley":{"formattedCitation":"(Thomaes et al., 2020)","manualFormatting":"Thomaes et al. (2020)","plainTextFormattedCitation":"(Thomaes et al., 2020)","previouslyFormattedCitation":"(Thomaes et al., 2020)"},"properties":{"noteIndex":0},"schema":"https://github.com/citation-style-language/schema/raw/master/csl-citation.json"}</w:instrText>
      </w:r>
      <w:r w:rsidRPr="00962996">
        <w:rPr>
          <w:rFonts w:ascii="Times New Roman" w:hAnsi="Times New Roman" w:cs="Times New Roman"/>
          <w:sz w:val="24"/>
          <w:szCs w:val="24"/>
          <w:lang w:val="en-US"/>
        </w:rPr>
        <w:fldChar w:fldCharType="separate"/>
      </w:r>
      <w:r w:rsidRPr="00962996">
        <w:rPr>
          <w:rFonts w:ascii="Times New Roman" w:hAnsi="Times New Roman" w:cs="Times New Roman"/>
          <w:noProof/>
          <w:sz w:val="24"/>
          <w:szCs w:val="24"/>
          <w:lang w:val="en-US"/>
        </w:rPr>
        <w:t>Thomaes et al. (2020)</w:t>
      </w:r>
      <w:r w:rsidRPr="00962996">
        <w:rPr>
          <w:rFonts w:ascii="Times New Roman" w:hAnsi="Times New Roman" w:cs="Times New Roman"/>
          <w:sz w:val="24"/>
          <w:szCs w:val="24"/>
          <w:lang w:val="en-US"/>
        </w:rPr>
        <w:fldChar w:fldCharType="end"/>
      </w:r>
      <w:r w:rsidR="00D961C1" w:rsidRPr="00962996">
        <w:rPr>
          <w:rFonts w:ascii="Times New Roman" w:hAnsi="Times New Roman" w:cs="Times New Roman"/>
          <w:sz w:val="24"/>
          <w:szCs w:val="24"/>
          <w:lang w:val="en-US"/>
        </w:rPr>
        <w:t xml:space="preserve"> </w:t>
      </w:r>
      <w:r w:rsidR="008D4CA9" w:rsidRPr="00962996">
        <w:rPr>
          <w:rFonts w:ascii="Times New Roman" w:hAnsi="Times New Roman" w:cs="Times New Roman"/>
          <w:sz w:val="24"/>
          <w:szCs w:val="24"/>
          <w:lang w:val="en-US"/>
        </w:rPr>
        <w:t>stated that when students who have negative beliefs about their competence experience difficulties in solving math problems, they tend to be anticipatory and worry about failure. So</w:t>
      </w:r>
      <w:r w:rsidR="007760F1" w:rsidRPr="00962996">
        <w:rPr>
          <w:rFonts w:ascii="Times New Roman" w:hAnsi="Times New Roman" w:cs="Times New Roman"/>
          <w:sz w:val="24"/>
          <w:szCs w:val="24"/>
          <w:lang w:val="en-US"/>
        </w:rPr>
        <w:t>,</w:t>
      </w:r>
      <w:r w:rsidR="008D4CA9" w:rsidRPr="00962996">
        <w:rPr>
          <w:rFonts w:ascii="Times New Roman" w:hAnsi="Times New Roman" w:cs="Times New Roman"/>
          <w:sz w:val="24"/>
          <w:szCs w:val="24"/>
          <w:lang w:val="en-US"/>
        </w:rPr>
        <w:t xml:space="preserve"> it can trigger them to disengage from the task and ultimately reduce their mathematics performance.</w:t>
      </w:r>
    </w:p>
    <w:p w:rsidR="008227D6" w:rsidRPr="00962996" w:rsidRDefault="008227D6" w:rsidP="00962996">
      <w:pPr>
        <w:spacing w:after="0" w:line="240" w:lineRule="auto"/>
        <w:jc w:val="both"/>
        <w:rPr>
          <w:rFonts w:ascii="Times New Roman" w:hAnsi="Times New Roman" w:cs="Times New Roman"/>
          <w:b/>
          <w:bCs/>
          <w:sz w:val="24"/>
          <w:szCs w:val="24"/>
        </w:rPr>
      </w:pPr>
    </w:p>
    <w:p w:rsidR="00845E8D"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Method</w:t>
      </w:r>
    </w:p>
    <w:p w:rsidR="009E5547"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This research is a quantitative study with math anxiety as the independent variable, math self-efficacy as the mediator variable, and math performance as the dependent variable, with the research design shown in Figure 1</w:t>
      </w:r>
      <w:r w:rsidR="005B4391"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The population in this study were all students at MTs Nurul Huda Sedati with a total of 358</w:t>
      </w:r>
      <w:r w:rsidR="005B4391" w:rsidRPr="00962996">
        <w:rPr>
          <w:rFonts w:ascii="Times New Roman" w:hAnsi="Times New Roman" w:cs="Times New Roman"/>
          <w:sz w:val="24"/>
          <w:szCs w:val="24"/>
          <w:lang w:val="en-US"/>
        </w:rPr>
        <w:t xml:space="preserve">. </w:t>
      </w:r>
      <w:r w:rsidR="00765C22" w:rsidRPr="00962996">
        <w:rPr>
          <w:rFonts w:ascii="Times New Roman" w:hAnsi="Times New Roman" w:cs="Times New Roman"/>
          <w:sz w:val="24"/>
          <w:szCs w:val="24"/>
          <w:lang w:val="en-US"/>
        </w:rPr>
        <w:t>The sample size of 236 participants were determined based on the Isaac and Michael table with an error rate of 1%</w:t>
      </w:r>
      <w:r w:rsidR="005B4391" w:rsidRPr="00962996">
        <w:rPr>
          <w:rFonts w:ascii="Times New Roman" w:hAnsi="Times New Roman" w:cs="Times New Roman"/>
          <w:sz w:val="24"/>
          <w:szCs w:val="24"/>
          <w:lang w:val="en-US"/>
        </w:rPr>
        <w:t xml:space="preserve"> </w:t>
      </w:r>
      <w:r w:rsidR="0096578A" w:rsidRPr="00962996">
        <w:rPr>
          <w:rFonts w:ascii="Times New Roman" w:hAnsi="Times New Roman" w:cs="Times New Roman"/>
          <w:sz w:val="24"/>
          <w:szCs w:val="24"/>
          <w:lang w:val="en-US"/>
        </w:rPr>
        <w:fldChar w:fldCharType="begin" w:fldLock="1"/>
      </w:r>
      <w:r w:rsidR="0096578A" w:rsidRPr="00962996">
        <w:rPr>
          <w:rFonts w:ascii="Times New Roman" w:hAnsi="Times New Roman" w:cs="Times New Roman"/>
          <w:sz w:val="24"/>
          <w:szCs w:val="24"/>
          <w:lang w:val="en-US"/>
        </w:rPr>
        <w:instrText>ADDIN CSL_CITATION {"citationItems":[{"id":"ITEM-1","itemData":{"ISBN":"978-602-289-533-6","author":[{"dropping-particle":"","family":"Sugiyono","given":"","non-dropping-particle":"","parse-names":false,"suffix":""}],"edition":"2","editor":[{"dropping-particle":"","family":"Sutopo","given":"","non-dropping-particle":"","parse-names":false,"suffix":""}],"id":"ITEM-1","issued":{"date-parts":[["2022"]]},"number-of-pages":"1-444","publisher":"Alfabeta CV","publisher-place":"Bandung","title":"Metode Penelitian Kuantitatif, Kualitatif, dan R&amp;D","type":"book"},"uris":["http://www.mendeley.com/documents/?uuid=42b384a2-33fb-4c70-9b5a-a6b451b45cb1"]}],"mendeley":{"formattedCitation":"(Sugiyono, 2022)","plainTextFormattedCitation":"(Sugiyono, 2022)","previouslyFormattedCitation":"(Sugiyono, 2022)"},"properties":{"noteIndex":0},"schema":"https://github.com/citation-style-language/schema/raw/master/csl-citation.json"}</w:instrText>
      </w:r>
      <w:r w:rsidR="0096578A" w:rsidRPr="00962996">
        <w:rPr>
          <w:rFonts w:ascii="Times New Roman" w:hAnsi="Times New Roman" w:cs="Times New Roman"/>
          <w:sz w:val="24"/>
          <w:szCs w:val="24"/>
          <w:lang w:val="en-US"/>
        </w:rPr>
        <w:fldChar w:fldCharType="separate"/>
      </w:r>
      <w:r w:rsidR="0096578A" w:rsidRPr="00962996">
        <w:rPr>
          <w:rFonts w:ascii="Times New Roman" w:hAnsi="Times New Roman" w:cs="Times New Roman"/>
          <w:noProof/>
          <w:sz w:val="24"/>
          <w:szCs w:val="24"/>
          <w:lang w:val="en-US"/>
        </w:rPr>
        <w:t>(Sugiyono, 2022)</w:t>
      </w:r>
      <w:r w:rsidR="0096578A" w:rsidRPr="00962996">
        <w:rPr>
          <w:rFonts w:ascii="Times New Roman" w:hAnsi="Times New Roman" w:cs="Times New Roman"/>
          <w:sz w:val="24"/>
          <w:szCs w:val="24"/>
          <w:lang w:val="en-US"/>
        </w:rPr>
        <w:fldChar w:fldCharType="end"/>
      </w:r>
      <w:r w:rsidR="005B4391" w:rsidRPr="00962996">
        <w:rPr>
          <w:rFonts w:ascii="Times New Roman" w:hAnsi="Times New Roman" w:cs="Times New Roman"/>
          <w:sz w:val="24"/>
          <w:szCs w:val="24"/>
          <w:lang w:val="en-US"/>
        </w:rPr>
        <w:t xml:space="preserve">. </w:t>
      </w:r>
      <w:r w:rsidR="00765C22" w:rsidRPr="00962996">
        <w:rPr>
          <w:rFonts w:ascii="Times New Roman" w:hAnsi="Times New Roman" w:cs="Times New Roman"/>
          <w:sz w:val="24"/>
          <w:szCs w:val="24"/>
          <w:lang w:val="en-US"/>
        </w:rPr>
        <w:t>Of the 236 participants, 55.1% were male and 44.9% were female. The age range of participants is between 12 - 15 years old</w:t>
      </w:r>
      <w:r w:rsidR="005B4391" w:rsidRPr="00962996">
        <w:rPr>
          <w:rFonts w:ascii="Times New Roman" w:hAnsi="Times New Roman" w:cs="Times New Roman"/>
          <w:sz w:val="24"/>
          <w:szCs w:val="24"/>
          <w:lang w:val="en-US"/>
        </w:rPr>
        <w:t>.</w:t>
      </w:r>
    </w:p>
    <w:p w:rsidR="005E2023" w:rsidRDefault="005E2023" w:rsidP="00962996">
      <w:pPr>
        <w:spacing w:after="0" w:line="240" w:lineRule="auto"/>
        <w:jc w:val="both"/>
        <w:rPr>
          <w:rFonts w:ascii="Times New Roman" w:hAnsi="Times New Roman" w:cs="Times New Roman"/>
          <w:sz w:val="24"/>
          <w:szCs w:val="24"/>
          <w:lang w:val="en-US"/>
        </w:rPr>
      </w:pPr>
    </w:p>
    <w:p w:rsidR="00962996" w:rsidRPr="00962996" w:rsidRDefault="00962996" w:rsidP="00962996">
      <w:pPr>
        <w:spacing w:after="0" w:line="240" w:lineRule="auto"/>
        <w:jc w:val="both"/>
        <w:rPr>
          <w:rFonts w:ascii="Times New Roman" w:hAnsi="Times New Roman" w:cs="Times New Roman"/>
          <w:sz w:val="24"/>
          <w:szCs w:val="24"/>
          <w:lang w:val="en-US"/>
        </w:rPr>
      </w:pPr>
    </w:p>
    <w:p w:rsidR="005B4391" w:rsidRPr="00962996" w:rsidRDefault="00000000" w:rsidP="00962996">
      <w:pPr>
        <w:spacing w:after="0" w:line="240" w:lineRule="auto"/>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lastRenderedPageBreak/>
        <w:t>Figure 1</w:t>
      </w:r>
    </w:p>
    <w:p w:rsidR="005B4391" w:rsidRPr="00962996" w:rsidRDefault="00000000" w:rsidP="00962996">
      <w:pPr>
        <w:spacing w:after="0" w:line="240" w:lineRule="auto"/>
        <w:rPr>
          <w:rFonts w:ascii="Times New Roman" w:hAnsi="Times New Roman" w:cs="Times New Roman"/>
          <w:sz w:val="24"/>
          <w:szCs w:val="24"/>
          <w:lang w:val="en-US"/>
        </w:rPr>
      </w:pPr>
      <w:r w:rsidRPr="00962996">
        <w:rPr>
          <w:rFonts w:ascii="Times New Roman" w:hAnsi="Times New Roman" w:cs="Times New Roman"/>
          <w:noProof/>
          <w:sz w:val="24"/>
          <w:szCs w:val="24"/>
          <w:lang w:val="en-US"/>
        </w:rPr>
        <mc:AlternateContent>
          <mc:Choice Requires="wpg">
            <w:drawing>
              <wp:anchor distT="0" distB="0" distL="114300" distR="114300" simplePos="0" relativeHeight="251658240" behindDoc="0" locked="0" layoutInCell="1" allowOverlap="1">
                <wp:simplePos x="0" y="0"/>
                <wp:positionH relativeFrom="margin">
                  <wp:align>center</wp:align>
                </wp:positionH>
                <wp:positionV relativeFrom="paragraph">
                  <wp:posOffset>222840</wp:posOffset>
                </wp:positionV>
                <wp:extent cx="4034155" cy="1193800"/>
                <wp:effectExtent l="0" t="0" r="23495" b="6350"/>
                <wp:wrapTopAndBottom/>
                <wp:docPr id="4" name="Group 1"/>
                <wp:cNvGraphicFramePr/>
                <a:graphic xmlns:a="http://schemas.openxmlformats.org/drawingml/2006/main">
                  <a:graphicData uri="http://schemas.microsoft.com/office/word/2010/wordprocessingGroup">
                    <wpg:wgp>
                      <wpg:cNvGrpSpPr/>
                      <wpg:grpSpPr>
                        <a:xfrm>
                          <a:off x="0" y="0"/>
                          <a:ext cx="4034155" cy="1193800"/>
                          <a:chOff x="397067" y="128042"/>
                          <a:chExt cx="4713090" cy="1388995"/>
                        </a:xfrm>
                      </wpg:grpSpPr>
                      <wps:wsp>
                        <wps:cNvPr id="6" name="Rectangle: Rounded Corners 6"/>
                        <wps:cNvSpPr/>
                        <wps:spPr>
                          <a:xfrm>
                            <a:off x="1962398" y="128042"/>
                            <a:ext cx="1352360" cy="228423"/>
                          </a:xfrm>
                          <a:prstGeom prst="roundRect">
                            <a:avLst/>
                          </a:prstGeom>
                          <a:ln w="19050"/>
                        </wps:spPr>
                        <wps:style>
                          <a:lnRef idx="2">
                            <a:schemeClr val="dk1"/>
                          </a:lnRef>
                          <a:fillRef idx="1">
                            <a:schemeClr val="lt1"/>
                          </a:fillRef>
                          <a:effectRef idx="0">
                            <a:schemeClr val="dk1"/>
                          </a:effectRef>
                          <a:fontRef idx="minor">
                            <a:schemeClr val="dk1"/>
                          </a:fontRef>
                        </wps:style>
                        <wps:txbx>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 Self-Efficacy</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7" name="Rectangle: Rounded Corners 7"/>
                        <wps:cNvSpPr/>
                        <wps:spPr>
                          <a:xfrm>
                            <a:off x="397067" y="1047694"/>
                            <a:ext cx="1347661" cy="234578"/>
                          </a:xfrm>
                          <a:prstGeom prst="roundRect">
                            <a:avLst/>
                          </a:prstGeom>
                          <a:ln w="19050"/>
                        </wps:spPr>
                        <wps:style>
                          <a:lnRef idx="2">
                            <a:schemeClr val="dk1"/>
                          </a:lnRef>
                          <a:fillRef idx="1">
                            <a:schemeClr val="lt1"/>
                          </a:fillRef>
                          <a:effectRef idx="0">
                            <a:schemeClr val="dk1"/>
                          </a:effectRef>
                          <a:fontRef idx="minor">
                            <a:schemeClr val="dk1"/>
                          </a:fontRef>
                        </wps:style>
                        <wps:txbx>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 Anxiety</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8" name="Rectangle: Rounded Corners 8"/>
                        <wps:cNvSpPr/>
                        <wps:spPr>
                          <a:xfrm>
                            <a:off x="3483766" y="1065128"/>
                            <a:ext cx="1626391" cy="218859"/>
                          </a:xfrm>
                          <a:prstGeom prst="roundRect">
                            <a:avLst/>
                          </a:prstGeom>
                          <a:ln w="19050"/>
                        </wps:spPr>
                        <wps:style>
                          <a:lnRef idx="2">
                            <a:schemeClr val="dk1"/>
                          </a:lnRef>
                          <a:fillRef idx="1">
                            <a:schemeClr val="lt1"/>
                          </a:fillRef>
                          <a:effectRef idx="0">
                            <a:schemeClr val="dk1"/>
                          </a:effectRef>
                          <a:fontRef idx="minor">
                            <a:schemeClr val="dk1"/>
                          </a:fontRef>
                        </wps:style>
                        <wps:txbx>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Mathematics Performance</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9" name="Straight Arrow Connector 9"/>
                        <wps:cNvCnPr/>
                        <wps:spPr>
                          <a:xfrm flipV="1">
                            <a:off x="987385" y="239500"/>
                            <a:ext cx="841247" cy="735398"/>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0" name="Straight Arrow Connector 10"/>
                        <wps:cNvCnPr/>
                        <wps:spPr>
                          <a:xfrm>
                            <a:off x="3434366" y="239500"/>
                            <a:ext cx="799587" cy="735398"/>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3" name="Straight Arrow Connector 13"/>
                        <wps:cNvCnPr/>
                        <wps:spPr>
                          <a:xfrm>
                            <a:off x="1865705" y="1167683"/>
                            <a:ext cx="1528033"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14" name="Oval 14"/>
                        <wps:cNvSpPr/>
                        <wps:spPr>
                          <a:xfrm>
                            <a:off x="1299612" y="491326"/>
                            <a:ext cx="230506" cy="230504"/>
                          </a:xfrm>
                          <a:prstGeom prst="ellipse">
                            <a:avLst/>
                          </a:prstGeom>
                          <a:ln w="19050"/>
                        </wps:spPr>
                        <wps:style>
                          <a:lnRef idx="2">
                            <a:schemeClr val="dk1"/>
                          </a:lnRef>
                          <a:fillRef idx="1">
                            <a:schemeClr val="lt1"/>
                          </a:fillRef>
                          <a:effectRef idx="0">
                            <a:schemeClr val="dk1"/>
                          </a:effectRef>
                          <a:fontRef idx="minor">
                            <a:schemeClr val="dk1"/>
                          </a:fontRef>
                        </wps:style>
                        <wps:txbx>
                          <w:txbxContent>
                            <w:p w:rsidR="005B4391" w:rsidRPr="00E61DEA" w:rsidRDefault="005B4391" w:rsidP="005B43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wps:wsp>
                        <wps:cNvPr id="15" name="Oval 15"/>
                        <wps:cNvSpPr/>
                        <wps:spPr>
                          <a:xfrm>
                            <a:off x="3664969" y="447151"/>
                            <a:ext cx="230507" cy="230506"/>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6" name="Oval 16"/>
                        <wps:cNvSpPr/>
                        <wps:spPr>
                          <a:xfrm>
                            <a:off x="2533976" y="1068951"/>
                            <a:ext cx="230506" cy="230506"/>
                          </a:xfrm>
                          <a:prstGeom prst="ellipse">
                            <a:avLst/>
                          </a:prstGeom>
                          <a:ln w="190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wps:bodyPr>
                      </wps:wsp>
                      <wps:wsp>
                        <wps:cNvPr id="17" name="Text Box 17"/>
                        <wps:cNvSpPr txBox="1"/>
                        <wps:spPr>
                          <a:xfrm>
                            <a:off x="1335592" y="531026"/>
                            <a:ext cx="156031" cy="150497"/>
                          </a:xfrm>
                          <a:prstGeom prst="rect">
                            <a:avLst/>
                          </a:prstGeom>
                          <a:noFill/>
                          <a:ln w="6350">
                            <a:noFill/>
                          </a:ln>
                        </wps:spPr>
                        <wps:txbx>
                          <w:txbxContent>
                            <w:p w:rsidR="005B4391" w:rsidRPr="00043A37" w:rsidRDefault="00000000" w:rsidP="005B4391">
                              <w:pPr>
                                <w:spacing w:after="0"/>
                                <w:jc w:val="center"/>
                                <w:rPr>
                                  <w:rFonts w:ascii="Gisha" w:hAnsi="Gisha" w:cs="Gisha"/>
                                  <w:sz w:val="16"/>
                                  <w:szCs w:val="16"/>
                                </w:rPr>
                              </w:pPr>
                              <w:r w:rsidRPr="00043A37">
                                <w:rPr>
                                  <w:rFonts w:ascii="Gisha" w:hAnsi="Gisha" w:cs="Gisha" w:hint="cs"/>
                                  <w:sz w:val="16"/>
                                  <w:szCs w:val="16"/>
                                </w:rPr>
                                <w:t>a</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18" name="Text Box 18"/>
                        <wps:cNvSpPr txBox="1"/>
                        <wps:spPr>
                          <a:xfrm>
                            <a:off x="3695316" y="471920"/>
                            <a:ext cx="185907" cy="187436"/>
                          </a:xfrm>
                          <a:prstGeom prst="rect">
                            <a:avLst/>
                          </a:prstGeom>
                          <a:noFill/>
                          <a:ln w="6350">
                            <a:noFill/>
                          </a:ln>
                        </wps:spPr>
                        <wps:txbx>
                          <w:txbxContent>
                            <w:p w:rsidR="005B4391" w:rsidRPr="00043A37" w:rsidRDefault="00000000" w:rsidP="005B4391">
                              <w:pPr>
                                <w:spacing w:after="0"/>
                                <w:jc w:val="center"/>
                                <w:rPr>
                                  <w:rFonts w:ascii="Gisha" w:hAnsi="Gisha" w:cs="Gisha"/>
                                  <w:sz w:val="16"/>
                                  <w:szCs w:val="16"/>
                                </w:rPr>
                              </w:pPr>
                              <w:r w:rsidRPr="00043A37">
                                <w:rPr>
                                  <w:rFonts w:ascii="Gisha" w:hAnsi="Gisha" w:cs="Gisha" w:hint="cs"/>
                                  <w:sz w:val="16"/>
                                  <w:szCs w:val="16"/>
                                </w:rPr>
                                <w:t>b</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19" name="Text Box 19"/>
                        <wps:cNvSpPr txBox="1"/>
                        <wps:spPr>
                          <a:xfrm>
                            <a:off x="2564933" y="1103100"/>
                            <a:ext cx="168831" cy="151792"/>
                          </a:xfrm>
                          <a:prstGeom prst="rect">
                            <a:avLst/>
                          </a:prstGeom>
                          <a:noFill/>
                          <a:ln w="6350">
                            <a:noFill/>
                          </a:ln>
                        </wps:spPr>
                        <wps:txbx>
                          <w:txbxContent>
                            <w:p w:rsidR="005B4391" w:rsidRPr="00043A37" w:rsidRDefault="00000000" w:rsidP="005B4391">
                              <w:pPr>
                                <w:jc w:val="center"/>
                                <w:rPr>
                                  <w:rFonts w:ascii="Gisha" w:hAnsi="Gisha" w:cs="Gisha"/>
                                  <w:sz w:val="16"/>
                                  <w:szCs w:val="16"/>
                                </w:rPr>
                              </w:pPr>
                              <w:r w:rsidRPr="00043A37">
                                <w:rPr>
                                  <w:rFonts w:ascii="Gisha" w:hAnsi="Gisha" w:cs="Gisha" w:hint="cs"/>
                                  <w:sz w:val="16"/>
                                  <w:szCs w:val="16"/>
                                </w:rPr>
                                <w:t>c</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20" name="Text Box 20"/>
                        <wps:cNvSpPr txBox="1"/>
                        <wps:spPr>
                          <a:xfrm>
                            <a:off x="475100" y="1325412"/>
                            <a:ext cx="1181474" cy="188545"/>
                          </a:xfrm>
                          <a:prstGeom prst="rect">
                            <a:avLst/>
                          </a:prstGeom>
                          <a:noFill/>
                          <a:ln w="6350">
                            <a:noFill/>
                          </a:ln>
                        </wps:spPr>
                        <wps:txbx>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Independen</w:t>
                              </w:r>
                              <w:r w:rsidR="00682003" w:rsidRPr="00043A37">
                                <w:rPr>
                                  <w:rFonts w:ascii="Gisha" w:hAnsi="Gisha" w:cs="Gisha" w:hint="cs"/>
                                  <w:sz w:val="14"/>
                                  <w:szCs w:val="14"/>
                                  <w:lang w:val="en-US"/>
                                </w:rPr>
                                <w:t xml:space="preserve">t </w:t>
                              </w:r>
                              <w:r w:rsidR="00682003" w:rsidRPr="00043A37">
                                <w:rPr>
                                  <w:rFonts w:ascii="Gisha" w:hAnsi="Gisha" w:cs="Gisha" w:hint="cs"/>
                                  <w:sz w:val="14"/>
                                  <w:szCs w:val="14"/>
                                </w:rPr>
                                <w:t>Variab</w:t>
                              </w:r>
                              <w:r w:rsidR="00682003" w:rsidRPr="00043A37">
                                <w:rPr>
                                  <w:rFonts w:ascii="Gisha" w:hAnsi="Gisha" w:cs="Gisha" w:hint="cs"/>
                                  <w:sz w:val="14"/>
                                  <w:szCs w:val="14"/>
                                  <w:lang w:val="en-US"/>
                                </w:rPr>
                                <w:t>le</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21" name="Text Box 21"/>
                        <wps:cNvSpPr txBox="1"/>
                        <wps:spPr>
                          <a:xfrm>
                            <a:off x="3537744" y="1325412"/>
                            <a:ext cx="1504724" cy="191625"/>
                          </a:xfrm>
                          <a:prstGeom prst="rect">
                            <a:avLst/>
                          </a:prstGeom>
                          <a:noFill/>
                          <a:ln w="6350">
                            <a:noFill/>
                          </a:ln>
                        </wps:spPr>
                        <wps:txbx>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Dependen</w:t>
                              </w:r>
                              <w:r w:rsidR="00682003" w:rsidRPr="00043A37">
                                <w:rPr>
                                  <w:rFonts w:ascii="Gisha" w:hAnsi="Gisha" w:cs="Gisha" w:hint="cs"/>
                                  <w:sz w:val="14"/>
                                  <w:szCs w:val="14"/>
                                  <w:lang w:val="en-US"/>
                                </w:rPr>
                                <w:t>t Variable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s:wsp>
                        <wps:cNvPr id="22" name="Text Box 22"/>
                        <wps:cNvSpPr txBox="1"/>
                        <wps:spPr>
                          <a:xfrm>
                            <a:off x="2024241" y="393893"/>
                            <a:ext cx="1235429" cy="198668"/>
                          </a:xfrm>
                          <a:prstGeom prst="rect">
                            <a:avLst/>
                          </a:prstGeom>
                          <a:noFill/>
                          <a:ln w="6350">
                            <a:noFill/>
                          </a:ln>
                        </wps:spPr>
                        <wps:txbx>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Mediator</w:t>
                              </w:r>
                              <w:r w:rsidR="00682003" w:rsidRPr="00043A37">
                                <w:rPr>
                                  <w:rFonts w:ascii="Gisha" w:hAnsi="Gisha" w:cs="Gisha" w:hint="cs"/>
                                  <w:sz w:val="14"/>
                                  <w:szCs w:val="14"/>
                                  <w:lang w:val="en-US"/>
                                </w:rPr>
                                <w:t xml:space="preserve"> Variable</w:t>
                              </w:r>
                            </w:p>
                          </w:txbxContent>
                        </wps:txbx>
                        <wps:bodyPr rot="0" spcFirstLastPara="0" vertOverflow="overflow" horzOverflow="overflow" vert="horz" wrap="square" lIns="0" tIns="0" rIns="0" bIns="0" numCol="1" spcCol="0" rtlCol="0" fromWordArt="0" anchor="ctr" anchorCtr="0" forceAA="0" compatLnSpc="1">
                          <a:prstTxWarp prst="textNoShape">
                            <a:avLst/>
                          </a:prstTxWarp>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0;margin-top:17.55pt;width:317.65pt;height:94pt;z-index:251658240;mso-position-horizontal:center;mso-position-horizontal-relative:margin;mso-width-relative:margin;mso-height-relative:margin" coordorigin="3970,1280" coordsize="47130,138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">
                <v:roundrect id="Rectangle: Rounded Corners 6" o:spid="_x0000_s1027" style="position:absolute;left:19623;top:1280;width:13524;height:228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" fillcolor="white [3201]" strokecolor="black [3200]" strokeweight="1.5pt">
                  <v:textbox inset="0,0,0,0">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 Self-Efficacy</w:t>
                        </w:r>
                      </w:p>
                    </w:txbxContent>
                  </v:textbox>
                </v:roundrect>
                <v:roundrect id="Rectangle: Rounded Corners 7" o:spid="_x0000_s1028" style="position:absolute;left:3970;top:10476;width:13477;height:234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" fillcolor="white [3201]" strokecolor="black [3200]" strokeweight="1.5pt">
                  <v:textbox inset="0,0,0,0">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 Anxiety</w:t>
                        </w:r>
                      </w:p>
                    </w:txbxContent>
                  </v:textbox>
                </v:roundrect>
                <v:roundrect id="Rectangle: Rounded Corners 8" o:spid="_x0000_s1029" style="position:absolute;left:34837;top:10651;width:16264;height:218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" fillcolor="white [3201]" strokecolor="black [3200]" strokeweight="1.5pt">
                  <v:textbox inset="0,0,0,0">
                    <w:txbxContent>
                      <w:p w:rsidR="005B4391" w:rsidRPr="00043A37" w:rsidRDefault="00000000" w:rsidP="005B4391">
                        <w:pPr>
                          <w:spacing w:after="0"/>
                          <w:jc w:val="center"/>
                          <w:rPr>
                            <w:rFonts w:ascii="Gisha" w:hAnsi="Gisha" w:cs="Gisha"/>
                            <w:b/>
                            <w:bCs/>
                            <w:sz w:val="16"/>
                            <w:szCs w:val="16"/>
                            <w:lang w:val="en-US"/>
                          </w:rPr>
                        </w:pPr>
                        <w:r w:rsidRPr="00043A37">
                          <w:rPr>
                            <w:rFonts w:ascii="Gisha" w:hAnsi="Gisha" w:cs="Gisha" w:hint="cs"/>
                            <w:b/>
                            <w:bCs/>
                            <w:sz w:val="16"/>
                            <w:szCs w:val="16"/>
                            <w:lang w:val="en-US"/>
                          </w:rPr>
                          <w:t>Mathematics Performance</w:t>
                        </w:r>
                      </w:p>
                    </w:txbxContent>
                  </v:textbox>
                </v:roundrect>
                <v:shapetype id="_x0000_t32" coordsize="21600,21600" o:spt="32" o:oned="t" path="m,l21600,21600e" filled="f">
                  <v:path arrowok="t" fillok="f" o:connecttype="none"/>
                  <o:lock v:ext="edit" shapetype="t"/>
                </v:shapetype>
                <v:shape id="Straight Arrow Connector 9" o:spid="_x0000_s1030" type="#_x0000_t32" style="position:absolute;left:9873;top:2395;width:8413;height:73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" strokecolor="black [3040]" strokeweight="1.5pt">
                  <v:stroke endarrow="block"/>
                </v:shape>
                <v:shape id="Straight Arrow Connector 10" o:spid="_x0000_s1031" type="#_x0000_t32" style="position:absolute;left:34343;top:2395;width:7996;height:73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" strokecolor="black [3040]" strokeweight="1.5pt">
                  <v:stroke endarrow="block"/>
                </v:shape>
                <v:shape id="Straight Arrow Connector 13" o:spid="_x0000_s1032" type="#_x0000_t32" style="position:absolute;left:18657;top:11676;width:152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" strokecolor="black [3040]" strokeweight="1.5pt">
                  <v:stroke endarrow="block"/>
                </v:shape>
                <v:oval id="Oval 14" o:spid="_x0000_s1033" style="position:absolute;left:12996;top:4913;width:2305;height:2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" fillcolor="white [3201]" strokecolor="black [3200]" strokeweight="1.5pt">
                  <v:textbox>
                    <w:txbxContent>
                      <w:p w:rsidR="005B4391" w:rsidRPr="00E61DEA" w:rsidRDefault="005B4391" w:rsidP="005B4391"/>
                    </w:txbxContent>
                  </v:textbox>
                </v:oval>
                <v:oval id="Oval 15" o:spid="_x0000_s1034" style="position:absolute;left:36649;top:4471;width:2305;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" fillcolor="white [3201]" strokecolor="black [3200]" strokeweight="1.5pt"/>
                <v:oval id="Oval 16" o:spid="_x0000_s1035" style="position:absolute;left:25339;top:10689;width:2305;height:2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" fillcolor="white [3201]" strokecolor="black [3200]" strokeweight="1.5pt"/>
                <v:shapetype id="_x0000_t202" coordsize="21600,21600" o:spt="202" path="m,l,21600r21600,l21600,xe">
                  <v:stroke joinstyle="miter"/>
                  <v:path gradientshapeok="t" o:connecttype="rect"/>
                </v:shapetype>
                <v:shape id="Text Box 17" o:spid="_x0000_s1036" type="#_x0000_t202" style="position:absolute;left:13355;top:5310;width:1561;height:15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" filled="f" stroked="f" strokeweight=".5pt">
                  <v:textbox inset="0,0,0,0">
                    <w:txbxContent>
                      <w:p w:rsidR="005B4391" w:rsidRPr="00043A37" w:rsidRDefault="00000000" w:rsidP="005B4391">
                        <w:pPr>
                          <w:spacing w:after="0"/>
                          <w:jc w:val="center"/>
                          <w:rPr>
                            <w:rFonts w:ascii="Gisha" w:hAnsi="Gisha" w:cs="Gisha"/>
                            <w:sz w:val="16"/>
                            <w:szCs w:val="16"/>
                          </w:rPr>
                        </w:pPr>
                        <w:r w:rsidRPr="00043A37">
                          <w:rPr>
                            <w:rFonts w:ascii="Gisha" w:hAnsi="Gisha" w:cs="Gisha" w:hint="cs"/>
                            <w:sz w:val="16"/>
                            <w:szCs w:val="16"/>
                          </w:rPr>
                          <w:t>a</w:t>
                        </w:r>
                      </w:p>
                    </w:txbxContent>
                  </v:textbox>
                </v:shape>
                <v:shape id="Text Box 18" o:spid="_x0000_s1037" type="#_x0000_t202" style="position:absolute;left:36953;top:4719;width:1859;height:1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" filled="f" stroked="f" strokeweight=".5pt">
                  <v:textbox inset="0,0,0,0">
                    <w:txbxContent>
                      <w:p w:rsidR="005B4391" w:rsidRPr="00043A37" w:rsidRDefault="00000000" w:rsidP="005B4391">
                        <w:pPr>
                          <w:spacing w:after="0"/>
                          <w:jc w:val="center"/>
                          <w:rPr>
                            <w:rFonts w:ascii="Gisha" w:hAnsi="Gisha" w:cs="Gisha"/>
                            <w:sz w:val="16"/>
                            <w:szCs w:val="16"/>
                          </w:rPr>
                        </w:pPr>
                        <w:r w:rsidRPr="00043A37">
                          <w:rPr>
                            <w:rFonts w:ascii="Gisha" w:hAnsi="Gisha" w:cs="Gisha" w:hint="cs"/>
                            <w:sz w:val="16"/>
                            <w:szCs w:val="16"/>
                          </w:rPr>
                          <w:t>b</w:t>
                        </w:r>
                      </w:p>
                    </w:txbxContent>
                  </v:textbox>
                </v:shape>
                <v:shape id="Text Box 19" o:spid="_x0000_s1038" type="#_x0000_t202" style="position:absolute;left:25649;top:11031;width:1688;height:15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" filled="f" stroked="f" strokeweight=".5pt">
                  <v:textbox inset="0,0,0,0">
                    <w:txbxContent>
                      <w:p w:rsidR="005B4391" w:rsidRPr="00043A37" w:rsidRDefault="00000000" w:rsidP="005B4391">
                        <w:pPr>
                          <w:jc w:val="center"/>
                          <w:rPr>
                            <w:rFonts w:ascii="Gisha" w:hAnsi="Gisha" w:cs="Gisha"/>
                            <w:sz w:val="16"/>
                            <w:szCs w:val="16"/>
                          </w:rPr>
                        </w:pPr>
                        <w:r w:rsidRPr="00043A37">
                          <w:rPr>
                            <w:rFonts w:ascii="Gisha" w:hAnsi="Gisha" w:cs="Gisha" w:hint="cs"/>
                            <w:sz w:val="16"/>
                            <w:szCs w:val="16"/>
                          </w:rPr>
                          <w:t>c</w:t>
                        </w:r>
                      </w:p>
                    </w:txbxContent>
                  </v:textbox>
                </v:shape>
                <v:shape id="Text Box 20" o:spid="_x0000_s1039" type="#_x0000_t202" style="position:absolute;left:4751;top:13254;width:11814;height:18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" filled="f" stroked="f" strokeweight=".5pt">
                  <v:textbox inset="0,0,0,0">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Independen</w:t>
                        </w:r>
                        <w:r w:rsidR="00682003" w:rsidRPr="00043A37">
                          <w:rPr>
                            <w:rFonts w:ascii="Gisha" w:hAnsi="Gisha" w:cs="Gisha" w:hint="cs"/>
                            <w:sz w:val="14"/>
                            <w:szCs w:val="14"/>
                            <w:lang w:val="en-US"/>
                          </w:rPr>
                          <w:t xml:space="preserve">t </w:t>
                        </w:r>
                        <w:r w:rsidR="00682003" w:rsidRPr="00043A37">
                          <w:rPr>
                            <w:rFonts w:ascii="Gisha" w:hAnsi="Gisha" w:cs="Gisha" w:hint="cs"/>
                            <w:sz w:val="14"/>
                            <w:szCs w:val="14"/>
                          </w:rPr>
                          <w:t>Variab</w:t>
                        </w:r>
                        <w:r w:rsidR="00682003" w:rsidRPr="00043A37">
                          <w:rPr>
                            <w:rFonts w:ascii="Gisha" w:hAnsi="Gisha" w:cs="Gisha" w:hint="cs"/>
                            <w:sz w:val="14"/>
                            <w:szCs w:val="14"/>
                            <w:lang w:val="en-US"/>
                          </w:rPr>
                          <w:t>le</w:t>
                        </w:r>
                      </w:p>
                    </w:txbxContent>
                  </v:textbox>
                </v:shape>
                <v:shape id="Text Box 21" o:spid="_x0000_s1040" type="#_x0000_t202" style="position:absolute;left:35377;top:13254;width:15047;height:19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" filled="f" stroked="f" strokeweight=".5pt">
                  <v:textbox inset="0,0,0,0">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Dependen</w:t>
                        </w:r>
                        <w:r w:rsidR="00682003" w:rsidRPr="00043A37">
                          <w:rPr>
                            <w:rFonts w:ascii="Gisha" w:hAnsi="Gisha" w:cs="Gisha" w:hint="cs"/>
                            <w:sz w:val="14"/>
                            <w:szCs w:val="14"/>
                            <w:lang w:val="en-US"/>
                          </w:rPr>
                          <w:t>t Variable</w:t>
                        </w:r>
                      </w:p>
                    </w:txbxContent>
                  </v:textbox>
                </v:shape>
                <v:shape id="Text Box 22" o:spid="_x0000_s1041" type="#_x0000_t202" style="position:absolute;left:20242;top:3938;width:12354;height:19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" filled="f" stroked="f" strokeweight=".5pt">
                  <v:textbox inset="0,0,0,0">
                    <w:txbxContent>
                      <w:p w:rsidR="005B4391" w:rsidRPr="00043A37" w:rsidRDefault="00000000" w:rsidP="005B4391">
                        <w:pPr>
                          <w:spacing w:after="0"/>
                          <w:jc w:val="center"/>
                          <w:rPr>
                            <w:rFonts w:ascii="Gisha" w:hAnsi="Gisha" w:cs="Gisha"/>
                            <w:sz w:val="14"/>
                            <w:szCs w:val="14"/>
                            <w:lang w:val="en-US"/>
                          </w:rPr>
                        </w:pPr>
                        <w:r w:rsidRPr="00043A37">
                          <w:rPr>
                            <w:rFonts w:ascii="Gisha" w:hAnsi="Gisha" w:cs="Gisha" w:hint="cs"/>
                            <w:sz w:val="14"/>
                            <w:szCs w:val="14"/>
                          </w:rPr>
                          <w:t>Mediator</w:t>
                        </w:r>
                        <w:r w:rsidR="00682003" w:rsidRPr="00043A37">
                          <w:rPr>
                            <w:rFonts w:ascii="Gisha" w:hAnsi="Gisha" w:cs="Gisha" w:hint="cs"/>
                            <w:sz w:val="14"/>
                            <w:szCs w:val="14"/>
                            <w:lang w:val="en-US"/>
                          </w:rPr>
                          <w:t xml:space="preserve"> Variable</w:t>
                        </w:r>
                      </w:p>
                    </w:txbxContent>
                  </v:textbox>
                </v:shape>
                <w10:wrap type="topAndBottom" anchorx="margin"/>
              </v:group>
            </w:pict>
          </mc:Fallback>
        </mc:AlternateContent>
      </w:r>
      <w:r w:rsidR="00B13271" w:rsidRPr="00962996">
        <w:rPr>
          <w:rFonts w:ascii="Times New Roman" w:hAnsi="Times New Roman" w:cs="Times New Roman"/>
          <w:sz w:val="24"/>
          <w:szCs w:val="24"/>
          <w:lang w:val="en-US"/>
        </w:rPr>
        <w:t>Study Design</w:t>
      </w:r>
    </w:p>
    <w:p w:rsidR="005E2023" w:rsidRPr="00962996" w:rsidRDefault="005E2023" w:rsidP="00962996">
      <w:pPr>
        <w:spacing w:after="0" w:line="240" w:lineRule="auto"/>
        <w:rPr>
          <w:rFonts w:ascii="Times New Roman" w:hAnsi="Times New Roman" w:cs="Times New Roman"/>
          <w:sz w:val="24"/>
          <w:szCs w:val="24"/>
          <w:lang w:val="en-US"/>
        </w:rPr>
      </w:pPr>
    </w:p>
    <w:p w:rsidR="005B4391"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t>This research uses a proportionate stratified random sampling technique</w:t>
      </w:r>
      <w:r w:rsidR="00682003" w:rsidRPr="00962996">
        <w:rPr>
          <w:rFonts w:ascii="Times New Roman" w:hAnsi="Times New Roman" w:cs="Times New Roman"/>
          <w:sz w:val="24"/>
          <w:szCs w:val="24"/>
        </w:rPr>
        <w:t xml:space="preserve">, </w:t>
      </w:r>
      <w:r w:rsidRPr="00962996">
        <w:rPr>
          <w:rFonts w:ascii="Times New Roman" w:hAnsi="Times New Roman" w:cs="Times New Roman"/>
          <w:sz w:val="24"/>
          <w:szCs w:val="24"/>
        </w:rPr>
        <w:t>by dividing the population into three strata based on grade level (i.e. grade 7, 8, and 9) with details in Table 1</w:t>
      </w:r>
      <w:r w:rsidR="00682003" w:rsidRPr="00962996">
        <w:rPr>
          <w:rFonts w:ascii="Times New Roman" w:hAnsi="Times New Roman" w:cs="Times New Roman"/>
          <w:sz w:val="24"/>
          <w:szCs w:val="24"/>
        </w:rPr>
        <w:t xml:space="preserve">. </w:t>
      </w:r>
      <w:r w:rsidRPr="00962996">
        <w:rPr>
          <w:rFonts w:ascii="Times New Roman" w:hAnsi="Times New Roman" w:cs="Times New Roman"/>
          <w:sz w:val="24"/>
          <w:szCs w:val="24"/>
        </w:rPr>
        <w:t>Then take a random sample in each stratum based on a predetermined percentage with a balanced proportion</w:t>
      </w:r>
      <w:r w:rsidR="00682003" w:rsidRPr="00962996">
        <w:rPr>
          <w:rFonts w:ascii="Times New Roman" w:hAnsi="Times New Roman" w:cs="Times New Roman"/>
          <w:sz w:val="24"/>
          <w:szCs w:val="24"/>
        </w:rPr>
        <w:t xml:space="preserve">. </w:t>
      </w:r>
      <w:r w:rsidR="00184C26" w:rsidRPr="00962996">
        <w:rPr>
          <w:rFonts w:ascii="Times New Roman" w:hAnsi="Times New Roman" w:cs="Times New Roman"/>
          <w:sz w:val="24"/>
          <w:szCs w:val="24"/>
        </w:rPr>
        <w:t>Data collection was conducted by distributing the research information along with a link to the online questionnaire for the participants to fill out.</w:t>
      </w:r>
    </w:p>
    <w:p w:rsidR="005E2023" w:rsidRPr="00962996" w:rsidRDefault="005E2023" w:rsidP="00962996">
      <w:pPr>
        <w:spacing w:after="0" w:line="240" w:lineRule="auto"/>
        <w:jc w:val="both"/>
        <w:rPr>
          <w:rFonts w:ascii="Times New Roman" w:hAnsi="Times New Roman" w:cs="Times New Roman"/>
          <w:sz w:val="24"/>
          <w:szCs w:val="24"/>
        </w:rPr>
      </w:pPr>
    </w:p>
    <w:p w:rsidR="00682003" w:rsidRPr="00962996" w:rsidRDefault="00000000" w:rsidP="00962996">
      <w:pPr>
        <w:spacing w:after="0" w:line="240" w:lineRule="auto"/>
        <w:jc w:val="both"/>
        <w:rPr>
          <w:rFonts w:ascii="Times New Roman" w:hAnsi="Times New Roman" w:cs="Times New Roman"/>
          <w:b/>
          <w:bCs/>
          <w:sz w:val="24"/>
          <w:szCs w:val="24"/>
        </w:rPr>
      </w:pPr>
      <w:r w:rsidRPr="00962996">
        <w:rPr>
          <w:rFonts w:ascii="Times New Roman" w:hAnsi="Times New Roman" w:cs="Times New Roman"/>
          <w:b/>
          <w:bCs/>
          <w:sz w:val="24"/>
          <w:szCs w:val="24"/>
        </w:rPr>
        <w:t>Tab</w:t>
      </w:r>
      <w:r w:rsidR="00B13271" w:rsidRPr="00962996">
        <w:rPr>
          <w:rFonts w:ascii="Times New Roman" w:hAnsi="Times New Roman" w:cs="Times New Roman"/>
          <w:b/>
          <w:bCs/>
          <w:sz w:val="24"/>
          <w:szCs w:val="24"/>
          <w:lang w:val="en-US"/>
        </w:rPr>
        <w:t>le</w:t>
      </w:r>
      <w:r w:rsidRPr="00962996">
        <w:rPr>
          <w:rFonts w:ascii="Times New Roman" w:hAnsi="Times New Roman" w:cs="Times New Roman"/>
          <w:b/>
          <w:bCs/>
          <w:sz w:val="24"/>
          <w:szCs w:val="24"/>
        </w:rPr>
        <w:t xml:space="preserve"> 1</w:t>
      </w:r>
    </w:p>
    <w:p w:rsidR="0068200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Distribution of Participants in Each Class</w:t>
      </w:r>
    </w:p>
    <w:tbl>
      <w:tblPr>
        <w:tblW w:w="0" w:type="auto"/>
        <w:tblLayout w:type="fixed"/>
        <w:tblLook w:val="04A0" w:firstRow="1" w:lastRow="0" w:firstColumn="1" w:lastColumn="0" w:noHBand="0" w:noVBand="1"/>
      </w:tblPr>
      <w:tblGrid>
        <w:gridCol w:w="993"/>
        <w:gridCol w:w="1701"/>
        <w:gridCol w:w="2835"/>
        <w:gridCol w:w="2268"/>
      </w:tblGrid>
      <w:tr w:rsidR="00752569" w:rsidRPr="00962996" w:rsidTr="00B13271">
        <w:tc>
          <w:tcPr>
            <w:tcW w:w="993"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
                <w:bCs/>
                <w:sz w:val="20"/>
                <w:szCs w:val="18"/>
                <w:lang w:val="en-US"/>
              </w:rPr>
            </w:pPr>
            <w:r w:rsidRPr="00962996">
              <w:rPr>
                <w:rFonts w:ascii="Times New Roman" w:hAnsi="Times New Roman" w:cs="Times New Roman"/>
                <w:b/>
                <w:bCs/>
                <w:sz w:val="20"/>
                <w:szCs w:val="18"/>
              </w:rPr>
              <w:t>N</w:t>
            </w:r>
            <w:r w:rsidR="00B13271" w:rsidRPr="00962996">
              <w:rPr>
                <w:rFonts w:ascii="Times New Roman" w:hAnsi="Times New Roman" w:cs="Times New Roman"/>
                <w:b/>
                <w:bCs/>
                <w:sz w:val="20"/>
                <w:szCs w:val="18"/>
                <w:lang w:val="en-US"/>
              </w:rPr>
              <w:t>umber</w:t>
            </w:r>
          </w:p>
        </w:tc>
        <w:tc>
          <w:tcPr>
            <w:tcW w:w="1701"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
                <w:bCs/>
                <w:sz w:val="20"/>
                <w:szCs w:val="18"/>
                <w:lang w:val="en-US"/>
              </w:rPr>
            </w:pPr>
            <w:r w:rsidRPr="00962996">
              <w:rPr>
                <w:rFonts w:ascii="Times New Roman" w:hAnsi="Times New Roman" w:cs="Times New Roman"/>
                <w:b/>
                <w:bCs/>
                <w:sz w:val="20"/>
                <w:szCs w:val="18"/>
                <w:lang w:val="en-US"/>
              </w:rPr>
              <w:t>Class</w:t>
            </w:r>
          </w:p>
        </w:tc>
        <w:tc>
          <w:tcPr>
            <w:tcW w:w="2835"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
                <w:bCs/>
                <w:sz w:val="20"/>
                <w:szCs w:val="18"/>
                <w:lang w:val="en-US"/>
              </w:rPr>
            </w:pPr>
            <w:r w:rsidRPr="00962996">
              <w:rPr>
                <w:rFonts w:ascii="Times New Roman" w:hAnsi="Times New Roman" w:cs="Times New Roman"/>
                <w:b/>
                <w:bCs/>
                <w:sz w:val="20"/>
                <w:szCs w:val="18"/>
                <w:lang w:val="en-US"/>
              </w:rPr>
              <w:t>Number of Participants</w:t>
            </w:r>
          </w:p>
        </w:tc>
        <w:tc>
          <w:tcPr>
            <w:tcW w:w="2268"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
                <w:bCs/>
                <w:sz w:val="20"/>
                <w:szCs w:val="18"/>
                <w:lang w:val="en-US"/>
              </w:rPr>
            </w:pPr>
            <w:r w:rsidRPr="00962996">
              <w:rPr>
                <w:rFonts w:ascii="Times New Roman" w:hAnsi="Times New Roman" w:cs="Times New Roman"/>
                <w:b/>
                <w:bCs/>
                <w:sz w:val="20"/>
                <w:szCs w:val="18"/>
                <w:lang w:val="en-US"/>
              </w:rPr>
              <w:t>Percentages</w:t>
            </w:r>
          </w:p>
        </w:tc>
      </w:tr>
      <w:tr w:rsidR="00752569" w:rsidRPr="00962996" w:rsidTr="00B13271">
        <w:tc>
          <w:tcPr>
            <w:tcW w:w="993" w:type="dxa"/>
            <w:tcBorders>
              <w:top w:val="single" w:sz="8" w:space="0" w:color="auto"/>
              <w:left w:val="nil"/>
              <w:bottom w:val="nil"/>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1</w:t>
            </w:r>
          </w:p>
        </w:tc>
        <w:tc>
          <w:tcPr>
            <w:tcW w:w="1701" w:type="dxa"/>
            <w:tcBorders>
              <w:top w:val="single" w:sz="8" w:space="0" w:color="auto"/>
              <w:left w:val="nil"/>
              <w:bottom w:val="nil"/>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7</w:t>
            </w:r>
          </w:p>
        </w:tc>
        <w:tc>
          <w:tcPr>
            <w:tcW w:w="2835" w:type="dxa"/>
            <w:tcBorders>
              <w:top w:val="single" w:sz="8" w:space="0" w:color="auto"/>
              <w:left w:val="nil"/>
              <w:bottom w:val="nil"/>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61</w:t>
            </w:r>
          </w:p>
        </w:tc>
        <w:tc>
          <w:tcPr>
            <w:tcW w:w="2268" w:type="dxa"/>
            <w:tcBorders>
              <w:top w:val="single" w:sz="8" w:space="0" w:color="auto"/>
              <w:left w:val="nil"/>
              <w:bottom w:val="nil"/>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26%</w:t>
            </w:r>
          </w:p>
        </w:tc>
      </w:tr>
      <w:tr w:rsidR="00752569" w:rsidRPr="00962996" w:rsidTr="00B13271">
        <w:tc>
          <w:tcPr>
            <w:tcW w:w="993" w:type="dxa"/>
            <w:tcBorders>
              <w:top w:val="nil"/>
              <w:left w:val="nil"/>
              <w:bottom w:val="nil"/>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2</w:t>
            </w:r>
          </w:p>
        </w:tc>
        <w:tc>
          <w:tcPr>
            <w:tcW w:w="1701" w:type="dxa"/>
            <w:tcBorders>
              <w:top w:val="nil"/>
              <w:left w:val="nil"/>
              <w:bottom w:val="nil"/>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8</w:t>
            </w:r>
          </w:p>
        </w:tc>
        <w:tc>
          <w:tcPr>
            <w:tcW w:w="2835" w:type="dxa"/>
            <w:tcBorders>
              <w:top w:val="nil"/>
              <w:left w:val="nil"/>
              <w:bottom w:val="nil"/>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79</w:t>
            </w:r>
          </w:p>
        </w:tc>
        <w:tc>
          <w:tcPr>
            <w:tcW w:w="2268" w:type="dxa"/>
            <w:tcBorders>
              <w:top w:val="nil"/>
              <w:left w:val="nil"/>
              <w:bottom w:val="nil"/>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33%</w:t>
            </w:r>
          </w:p>
        </w:tc>
      </w:tr>
      <w:tr w:rsidR="00752569" w:rsidRPr="00962996" w:rsidTr="00B13271">
        <w:tc>
          <w:tcPr>
            <w:tcW w:w="993" w:type="dxa"/>
            <w:tcBorders>
              <w:top w:val="nil"/>
              <w:left w:val="nil"/>
              <w:bottom w:val="single" w:sz="8" w:space="0" w:color="auto"/>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3</w:t>
            </w:r>
          </w:p>
        </w:tc>
        <w:tc>
          <w:tcPr>
            <w:tcW w:w="1701" w:type="dxa"/>
            <w:tcBorders>
              <w:top w:val="nil"/>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9</w:t>
            </w:r>
          </w:p>
        </w:tc>
        <w:tc>
          <w:tcPr>
            <w:tcW w:w="2835" w:type="dxa"/>
            <w:tcBorders>
              <w:top w:val="nil"/>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96</w:t>
            </w:r>
          </w:p>
        </w:tc>
        <w:tc>
          <w:tcPr>
            <w:tcW w:w="2268" w:type="dxa"/>
            <w:tcBorders>
              <w:top w:val="nil"/>
              <w:left w:val="nil"/>
              <w:bottom w:val="single" w:sz="8" w:space="0" w:color="auto"/>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41%</w:t>
            </w:r>
          </w:p>
        </w:tc>
      </w:tr>
      <w:tr w:rsidR="00752569" w:rsidRPr="00962996" w:rsidTr="00B13271">
        <w:tc>
          <w:tcPr>
            <w:tcW w:w="993" w:type="dxa"/>
            <w:tcBorders>
              <w:top w:val="single" w:sz="8" w:space="0" w:color="auto"/>
              <w:left w:val="nil"/>
              <w:bottom w:val="single" w:sz="8" w:space="0" w:color="auto"/>
              <w:right w:val="nil"/>
            </w:tcBorders>
          </w:tcPr>
          <w:p w:rsidR="00682003" w:rsidRPr="00962996" w:rsidRDefault="00682003" w:rsidP="00962996">
            <w:pPr>
              <w:spacing w:after="0" w:line="288" w:lineRule="auto"/>
              <w:jc w:val="center"/>
              <w:rPr>
                <w:rFonts w:ascii="Times New Roman" w:hAnsi="Times New Roman" w:cs="Times New Roman"/>
                <w:bCs/>
                <w:sz w:val="20"/>
                <w:szCs w:val="18"/>
              </w:rPr>
            </w:pPr>
          </w:p>
        </w:tc>
        <w:tc>
          <w:tcPr>
            <w:tcW w:w="1701"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Total</w:t>
            </w:r>
          </w:p>
        </w:tc>
        <w:tc>
          <w:tcPr>
            <w:tcW w:w="2835" w:type="dxa"/>
            <w:tcBorders>
              <w:top w:val="single" w:sz="8" w:space="0" w:color="auto"/>
              <w:left w:val="nil"/>
              <w:bottom w:val="single" w:sz="8" w:space="0" w:color="auto"/>
              <w:right w:val="nil"/>
            </w:tcBorders>
            <w:vAlign w:val="center"/>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236</w:t>
            </w:r>
          </w:p>
        </w:tc>
        <w:tc>
          <w:tcPr>
            <w:tcW w:w="2268" w:type="dxa"/>
            <w:tcBorders>
              <w:top w:val="single" w:sz="8" w:space="0" w:color="auto"/>
              <w:left w:val="nil"/>
              <w:bottom w:val="single" w:sz="8" w:space="0" w:color="auto"/>
              <w:right w:val="nil"/>
            </w:tcBorders>
          </w:tcPr>
          <w:p w:rsidR="00682003" w:rsidRPr="00962996" w:rsidRDefault="00000000" w:rsidP="00962996">
            <w:pPr>
              <w:spacing w:after="0"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100%</w:t>
            </w:r>
          </w:p>
        </w:tc>
      </w:tr>
    </w:tbl>
    <w:p w:rsidR="005E2023" w:rsidRPr="00962996" w:rsidRDefault="005E2023" w:rsidP="00962996">
      <w:pPr>
        <w:spacing w:after="0" w:line="240" w:lineRule="auto"/>
        <w:jc w:val="both"/>
        <w:rPr>
          <w:rFonts w:ascii="Times New Roman" w:hAnsi="Times New Roman" w:cs="Times New Roman"/>
          <w:sz w:val="24"/>
          <w:szCs w:val="24"/>
        </w:rPr>
      </w:pPr>
    </w:p>
    <w:p w:rsidR="0068200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The measurements in this study were a series of questionnaires consisting of two types of scales</w:t>
      </w:r>
      <w:r w:rsidRPr="00962996">
        <w:rPr>
          <w:rFonts w:ascii="Times New Roman" w:hAnsi="Times New Roman" w:cs="Times New Roman"/>
          <w:sz w:val="24"/>
          <w:szCs w:val="24"/>
          <w:lang w:val="en-US"/>
        </w:rPr>
        <w:t>.</w:t>
      </w:r>
      <w:r w:rsidRPr="00962996">
        <w:rPr>
          <w:rFonts w:ascii="Times New Roman" w:hAnsi="Times New Roman" w:cs="Times New Roman"/>
          <w:sz w:val="24"/>
          <w:szCs w:val="24"/>
        </w:rPr>
        <w:t xml:space="preserve"> </w:t>
      </w:r>
      <w:r w:rsidR="001D25A5" w:rsidRPr="00962996">
        <w:rPr>
          <w:rFonts w:ascii="Times New Roman" w:hAnsi="Times New Roman" w:cs="Times New Roman"/>
          <w:sz w:val="24"/>
          <w:szCs w:val="24"/>
        </w:rPr>
        <w:t xml:space="preserve">The measurement tool for math anxiety is adapted from the Scale for Assessing Math Anxiety in Secondary Education (SAMAS)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{"citationItems":[{"id":"ITEM-1","itemData":{"DOI":"10.1016/j.anyes.2017.10.001","ISSN":"21740437","abstract":"Secondary students’ low achievement and engagement in mathematics is known to relate closely to their math anxiety. Despite the international body of research, the theoretical conceptualization of the construct math anxiety is still debated, showing strong discrepancies regarding its factor structure. Therefore, the aim of this paper is to develop and validate a new instrument, called Scale for Assessing Math Anxiety in Secondary education (SAMAS), by testing several models through confirmatory factor analysis. Data were collected from 563 secondary students, with an average age of 13.96 (SD = 1.09) years. Several models for the construct were tested through confirmatory factor analysis. The results largely confirmed that the hierarquical structure showed the best fit to the data χ2(166, N = 563) = 361.22; RMSEA =.046; SRMR =.045; NNFI =.94; CFI =.95), resulting in the psychometrically sound 20-item SAMAS, wherein math anxiety comprises three underlying factors.","author":[{"dropping-particle":"","family":"Yáñez-Marquina","given":"Lara","non-dropping-particle":"","parse-names":false,"suffix":""},{"dropping-particle":"","family":"Villardón-Gallego","given":"Lourdes","non-dropping-particle":"","parse-names":false,"suffix":""}],"container-title":"Ansiedad y Estres","id":"ITEM-1","issue":"2-3","issued":{"date-parts":[["2017"]]},"page":"59-65","title":"Math anxiety, a hierarchical construct: Development and validation of the scale for assessing math anxiety in secondary education","type":"article-journal","volume":"23"},"uris":["http://www.mendeley.com/documents/?uuid=c9196b12-7750-4359-b01e-280d5094979b"]}],"mendeley":{"formattedCitation":"(Yáñez-Marquina &amp; Villardón-Gallego, 2017)","plainTextFormattedCitation":"(Yáñez-Marquina &amp; Villardón-Gallego, 2017)","previouslyFormattedCitation":"(Yáñez-Marquina &amp; Villardón-Gallego, 2017)"},"properties":{"noteIndex":0},"schema":"https://github.com/citation-style-language/schema/raw/master/csl-citation.json"}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(Yáñez-Marquina &amp; Villardón-Gallego, 2017)</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w:t>
      </w:r>
      <w:r w:rsidR="001D25A5" w:rsidRPr="00962996">
        <w:rPr>
          <w:rFonts w:ascii="Times New Roman" w:hAnsi="Times New Roman" w:cs="Times New Roman"/>
          <w:sz w:val="24"/>
          <w:szCs w:val="24"/>
        </w:rPr>
        <w:t>then translated into Indonesian through a process of review and translation by 3 experts</w:t>
      </w:r>
      <w:r w:rsidRPr="00962996">
        <w:rPr>
          <w:rFonts w:ascii="Times New Roman" w:hAnsi="Times New Roman" w:cs="Times New Roman"/>
          <w:sz w:val="24"/>
          <w:szCs w:val="24"/>
        </w:rPr>
        <w:t xml:space="preserve">. </w:t>
      </w:r>
      <w:r w:rsidR="001D25A5" w:rsidRPr="00962996">
        <w:rPr>
          <w:rFonts w:ascii="Times New Roman" w:hAnsi="Times New Roman" w:cs="Times New Roman"/>
          <w:sz w:val="24"/>
          <w:szCs w:val="24"/>
        </w:rPr>
        <w:t>SAMAS consists of 20 items in three dimensions, namely everyday life's math anxiety</w:t>
      </w:r>
      <w:r w:rsidRPr="00962996">
        <w:rPr>
          <w:rFonts w:ascii="Times New Roman" w:hAnsi="Times New Roman" w:cs="Times New Roman"/>
          <w:sz w:val="24"/>
          <w:szCs w:val="24"/>
        </w:rPr>
        <w:t xml:space="preserve"> (</w:t>
      </w:r>
      <w:r w:rsidR="001D25A5"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1D25A5" w:rsidRPr="00962996">
        <w:rPr>
          <w:rFonts w:ascii="Times New Roman" w:hAnsi="Times New Roman" w:cs="Times New Roman"/>
          <w:sz w:val="24"/>
          <w:szCs w:val="24"/>
          <w:lang w:val="en-US"/>
        </w:rPr>
        <w:t>I get nervous when calculating the total price of what I bought</w:t>
      </w:r>
      <w:r w:rsidRPr="00962996">
        <w:rPr>
          <w:rFonts w:ascii="Times New Roman" w:hAnsi="Times New Roman" w:cs="Times New Roman"/>
          <w:sz w:val="24"/>
          <w:szCs w:val="24"/>
        </w:rPr>
        <w:t>”), math learning anxiety (</w:t>
      </w:r>
      <w:r w:rsidR="00A67582"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A67582" w:rsidRPr="00962996">
        <w:rPr>
          <w:rFonts w:ascii="Times New Roman" w:hAnsi="Times New Roman" w:cs="Times New Roman"/>
          <w:sz w:val="24"/>
          <w:szCs w:val="24"/>
          <w:lang w:val="en-US"/>
        </w:rPr>
        <w:t>I get nervous at the thought of having to study again math next year</w:t>
      </w:r>
      <w:r w:rsidRPr="00962996">
        <w:rPr>
          <w:rFonts w:ascii="Times New Roman" w:hAnsi="Times New Roman" w:cs="Times New Roman"/>
          <w:sz w:val="24"/>
          <w:szCs w:val="24"/>
        </w:rPr>
        <w:t xml:space="preserve">”), </w:t>
      </w:r>
      <w:r w:rsidR="00FD76FE" w:rsidRPr="00962996">
        <w:rPr>
          <w:rFonts w:ascii="Times New Roman" w:hAnsi="Times New Roman" w:cs="Times New Roman"/>
          <w:sz w:val="24"/>
          <w:szCs w:val="24"/>
          <w:lang w:val="en-US"/>
        </w:rPr>
        <w:t>and</w:t>
      </w:r>
      <w:r w:rsidRPr="00962996">
        <w:rPr>
          <w:rFonts w:ascii="Times New Roman" w:hAnsi="Times New Roman" w:cs="Times New Roman"/>
          <w:sz w:val="24"/>
          <w:szCs w:val="24"/>
        </w:rPr>
        <w:t xml:space="preserve"> math test anxiety (</w:t>
      </w:r>
      <w:r w:rsidR="00A67582"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A67582" w:rsidRPr="00962996">
        <w:rPr>
          <w:rFonts w:ascii="Times New Roman" w:hAnsi="Times New Roman" w:cs="Times New Roman"/>
          <w:sz w:val="24"/>
          <w:szCs w:val="24"/>
          <w:lang w:val="en-US"/>
        </w:rPr>
        <w:t>I got nervous the previous day of a math test</w:t>
      </w:r>
      <w:r w:rsidRPr="00962996">
        <w:rPr>
          <w:rFonts w:ascii="Times New Roman" w:hAnsi="Times New Roman" w:cs="Times New Roman"/>
          <w:sz w:val="24"/>
          <w:szCs w:val="24"/>
        </w:rPr>
        <w:t xml:space="preserve">”). </w:t>
      </w:r>
      <w:r w:rsidR="005D3A4D" w:rsidRPr="00962996">
        <w:rPr>
          <w:rFonts w:ascii="Times New Roman" w:hAnsi="Times New Roman" w:cs="Times New Roman"/>
          <w:sz w:val="24"/>
          <w:szCs w:val="24"/>
          <w:lang w:val="en-US"/>
        </w:rPr>
        <w:t xml:space="preserve">With a continuous response scale ranging from 0 </w:t>
      </w:r>
      <w:r w:rsidRPr="00962996">
        <w:rPr>
          <w:rFonts w:ascii="Times New Roman" w:hAnsi="Times New Roman" w:cs="Times New Roman"/>
          <w:sz w:val="24"/>
          <w:szCs w:val="24"/>
        </w:rPr>
        <w:t xml:space="preserve"> (</w:t>
      </w:r>
      <w:r w:rsidR="005D3A4D" w:rsidRPr="00962996">
        <w:rPr>
          <w:rFonts w:ascii="Times New Roman" w:hAnsi="Times New Roman" w:cs="Times New Roman"/>
          <w:sz w:val="24"/>
          <w:szCs w:val="24"/>
          <w:lang w:val="en-US"/>
        </w:rPr>
        <w:t>Strongly disagree</w:t>
      </w:r>
      <w:r w:rsidRPr="00962996">
        <w:rPr>
          <w:rFonts w:ascii="Times New Roman" w:hAnsi="Times New Roman" w:cs="Times New Roman"/>
          <w:sz w:val="24"/>
          <w:szCs w:val="24"/>
        </w:rPr>
        <w:t xml:space="preserve">) </w:t>
      </w:r>
      <w:r w:rsidR="005D3A4D" w:rsidRPr="00962996">
        <w:rPr>
          <w:rFonts w:ascii="Times New Roman" w:hAnsi="Times New Roman" w:cs="Times New Roman"/>
          <w:sz w:val="24"/>
          <w:szCs w:val="24"/>
          <w:lang w:val="en-US"/>
        </w:rPr>
        <w:t>to</w:t>
      </w:r>
      <w:r w:rsidRPr="00962996">
        <w:rPr>
          <w:rFonts w:ascii="Times New Roman" w:hAnsi="Times New Roman" w:cs="Times New Roman"/>
          <w:sz w:val="24"/>
          <w:szCs w:val="24"/>
        </w:rPr>
        <w:t xml:space="preserve"> 10 (</w:t>
      </w:r>
      <w:r w:rsidR="005D3A4D" w:rsidRPr="00962996">
        <w:rPr>
          <w:rFonts w:ascii="Times New Roman" w:hAnsi="Times New Roman" w:cs="Times New Roman"/>
          <w:sz w:val="24"/>
          <w:szCs w:val="24"/>
          <w:lang w:val="en-US"/>
        </w:rPr>
        <w:t>Strongly Agree</w:t>
      </w:r>
      <w:r w:rsidRPr="00962996">
        <w:rPr>
          <w:rFonts w:ascii="Times New Roman" w:hAnsi="Times New Roman" w:cs="Times New Roman"/>
          <w:sz w:val="24"/>
          <w:szCs w:val="24"/>
        </w:rPr>
        <w:t xml:space="preserve">). </w:t>
      </w:r>
      <w:r w:rsidR="005A53DC" w:rsidRPr="00962996">
        <w:rPr>
          <w:rFonts w:ascii="Times New Roman" w:hAnsi="Times New Roman" w:cs="Times New Roman"/>
          <w:sz w:val="24"/>
          <w:szCs w:val="24"/>
          <w:lang w:val="en-US"/>
        </w:rPr>
        <w:t>The i</w:t>
      </w:r>
      <w:r w:rsidR="005A53DC" w:rsidRPr="00962996">
        <w:rPr>
          <w:rFonts w:ascii="Times New Roman" w:hAnsi="Times New Roman" w:cs="Times New Roman"/>
          <w:sz w:val="24"/>
          <w:szCs w:val="24"/>
        </w:rPr>
        <w:t xml:space="preserve">nternal consistency in everyday life's math anxiety factors of α = 0.83, math learning anxiety of α = 0.86, and math test anxiety of α = 0.84  </w:t>
      </w:r>
      <w:r w:rsidRPr="00962996">
        <w:rPr>
          <w:rFonts w:ascii="Times New Roman" w:hAnsi="Times New Roman" w:cs="Times New Roman"/>
          <w:sz w:val="24"/>
          <w:szCs w:val="24"/>
        </w:rPr>
        <w:t xml:space="preserve">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{"citationItems":[{"id":"ITEM-1","itemData":{"DOI":"10.1016/j.anyes.2017.10.001","ISSN":"21740437","abstract":"Secondary students’ low achievement and engagement in mathematics is known to relate closely to their math anxiety. Despite the international body of research, the theoretical conceptualization of the construct math anxiety is still debated, showing strong discrepancies regarding its factor structure. Therefore, the aim of this paper is to develop and validate a new instrument, called Scale for Assessing Math Anxiety in Secondary education (SAMAS), by testing several models through confirmatory factor analysis. Data were collected from 563 secondary students, with an average age of 13.96 (SD = 1.09) years. Several models for the construct were tested through confirmatory factor analysis. The results largely confirmed that the hierarquical structure showed the best fit to the data χ2(166, N = 563) = 361.22; RMSEA =.046; SRMR =.045; NNFI =.94; CFI =.95), resulting in the psychometrically sound 20-item SAMAS, wherein math anxiety comprises three underlying factors.","author":[{"dropping-particle":"","family":"Yáñez-Marquina","given":"Lara","non-dropping-particle":"","parse-names":false,"suffix":""},{"dropping-particle":"","family":"Villardón-Gallego","given":"Lourdes","non-dropping-particle":"","parse-names":false,"suffix":""}],"container-title":"Ansiedad y Estres","id":"ITEM-1","issue":"2-3","issued":{"date-parts":[["2017"]]},"page":"59-65","title":"Math anxiety, a hierarchical construct: Development and validation of the scale for assessing math anxiety in secondary education","type":"article-journal","volume":"23"},"uris":["http://www.mendeley.com/documents/?uuid=c9196b12-7750-4359-b01e-280d5094979b"]}],"mendeley":{"formattedCitation":"(Yáñez-Marquina &amp; Villardón-Gallego, 2017)","plainTextFormattedCitation":"(Yáñez-Marquina &amp; Villardón-Gallego, 2017)","previouslyFormattedCitation":"(Yáñez-Marquina &amp; Villardón-Gallego, 2017)"},"properties":{"noteIndex":0},"schema":"https://github.com/citation-style-language/schema/raw/master/csl-citation.json"}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(Yáñez-Marquina &amp; Villardón-Gallego, 2017)</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 xml:space="preserve">. </w:t>
      </w:r>
      <w:r w:rsidR="005B7C79" w:rsidRPr="00962996">
        <w:rPr>
          <w:rFonts w:ascii="Times New Roman" w:hAnsi="Times New Roman" w:cs="Times New Roman"/>
          <w:sz w:val="24"/>
          <w:szCs w:val="24"/>
          <w:lang w:val="en-US"/>
        </w:rPr>
        <w:t>The r</w:t>
      </w:r>
      <w:r w:rsidR="005A53DC" w:rsidRPr="00962996">
        <w:rPr>
          <w:rFonts w:ascii="Times New Roman" w:hAnsi="Times New Roman" w:cs="Times New Roman"/>
          <w:sz w:val="24"/>
          <w:szCs w:val="24"/>
        </w:rPr>
        <w:t xml:space="preserve">eliability test on the SAMAS scale after being administered to the subject, showed </w:t>
      </w:r>
      <w:r w:rsidR="005B7C79" w:rsidRPr="00962996">
        <w:rPr>
          <w:rFonts w:ascii="Times New Roman" w:hAnsi="Times New Roman" w:cs="Times New Roman"/>
          <w:sz w:val="24"/>
          <w:szCs w:val="24"/>
          <w:lang w:val="en-US"/>
        </w:rPr>
        <w:t xml:space="preserve">a </w:t>
      </w:r>
      <w:r w:rsidR="005B7C79" w:rsidRPr="00962996">
        <w:rPr>
          <w:rFonts w:ascii="Times New Roman" w:hAnsi="Times New Roman" w:cs="Times New Roman"/>
          <w:sz w:val="24"/>
          <w:szCs w:val="24"/>
        </w:rPr>
        <w:t xml:space="preserve">reliability result </w:t>
      </w:r>
      <w:r w:rsidR="005B7C79" w:rsidRPr="00962996">
        <w:rPr>
          <w:rFonts w:ascii="Times New Roman" w:hAnsi="Times New Roman" w:cs="Times New Roman"/>
          <w:sz w:val="24"/>
          <w:szCs w:val="24"/>
          <w:lang w:val="en-US"/>
        </w:rPr>
        <w:t xml:space="preserve">of </w:t>
      </w:r>
      <w:r w:rsidR="005A53DC" w:rsidRPr="00962996">
        <w:rPr>
          <w:rFonts w:ascii="Times New Roman" w:hAnsi="Times New Roman" w:cs="Times New Roman"/>
          <w:sz w:val="24"/>
          <w:szCs w:val="24"/>
        </w:rPr>
        <w:t>α = 0.897</w:t>
      </w:r>
      <w:r w:rsidRPr="00962996">
        <w:rPr>
          <w:rFonts w:ascii="Times New Roman" w:hAnsi="Times New Roman" w:cs="Times New Roman"/>
          <w:sz w:val="24"/>
          <w:szCs w:val="24"/>
        </w:rPr>
        <w:t xml:space="preserve">. </w:t>
      </w:r>
      <w:r w:rsidR="00C12382" w:rsidRPr="00962996">
        <w:rPr>
          <w:rFonts w:ascii="Times New Roman" w:hAnsi="Times New Roman" w:cs="Times New Roman"/>
          <w:sz w:val="24"/>
          <w:szCs w:val="24"/>
        </w:rPr>
        <w:t>The results of confirmatory factor analyses (CFA) using the DWLS estimator are presented in Table 2, showing that the three dimensions have met the suitability index standards</w:t>
      </w:r>
      <w:r w:rsidR="00C12382" w:rsidRPr="00962996">
        <w:rPr>
          <w:rFonts w:ascii="Times New Roman" w:hAnsi="Times New Roman" w:cs="Times New Roman"/>
          <w:sz w:val="24"/>
          <w:szCs w:val="24"/>
          <w:lang w:val="en-US"/>
        </w:rPr>
        <w:t>.</w:t>
      </w:r>
    </w:p>
    <w:p w:rsidR="0068200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measurement tool for math self-efficacy uses</w:t>
      </w:r>
      <w:r w:rsidRPr="00962996">
        <w:rPr>
          <w:rFonts w:ascii="Times New Roman" w:hAnsi="Times New Roman" w:cs="Times New Roman"/>
          <w:sz w:val="24"/>
          <w:szCs w:val="24"/>
        </w:rPr>
        <w:t xml:space="preserve"> Alat Ukur Efikasi Matematika Indonesia (AUKEMI) </w:t>
      </w:r>
      <w:r w:rsidR="0096578A" w:rsidRPr="00962996">
        <w:rPr>
          <w:rFonts w:ascii="Times New Roman" w:hAnsi="Times New Roman" w:cs="Times New Roman"/>
          <w:sz w:val="24"/>
          <w:szCs w:val="24"/>
        </w:rPr>
        <w:fldChar w:fldCharType="begin" w:fldLock="1"/>
      </w:r>
      <w:r w:rsidR="0096578A" w:rsidRPr="00962996">
        <w:rPr>
          <w:rFonts w:ascii="Times New Roman" w:hAnsi="Times New Roman" w:cs="Times New Roman"/>
          <w:sz w:val="24"/>
          <w:szCs w:val="24"/>
        </w:rPr>
        <w:instrText>ADDIN CSL_CITATION {"citationItems":[{"id":"ITEM-1","itemData":{"DOI":"10.29408/jel.v8i1.4522","abstract":"Indonesian students are indicated to have a low math efficacy. Currently, no psychology scale has been created to measure the math efficacy of Indonesian students, especially for junior high school level students. This study aims to develop a math efficacy scale for junior high school level students or equivalent based on Indonesian students’ characteristics. The study used an exploratory sequential design with mixed methods. The results of qualitative analysis through focused group interviews on two small groups of eight students show that seven major themes were related to mathematics efficacy. Qualitative analysis as the basis for a scale development consisting of 33 items and is administered to 478 participants. The results of the quantitative analysis through validity test with Principal Component Analysis (PCA) shows that four dimensions appeared with total variance explained reaching 60.4%. The model was re-tested for compatibility with Confirmatory Factor Analysis (CFA) and obtained index values of p &lt; 0.001 (χ2), 0.047 (SRMR), 0.907 (TLI), 0.918 (CFI), and 0.064 (RMSEA). The four dimensions have met the standard of a fit index with 23 items remaining. The validity test was also supported by Pearson's Product Moment correlation of 0.795 for convergent validity test with Math Attitude Scale (MAS) and divergent validity test of -0.331 with Mathematical Self- Efficacy and Anxiety Questionnaire (MSEAQ). The scale's reliability was very good, with Cronbach's alpha value of 0.918. Keywords:","author":[{"dropping-particle":"","family":"Mubarrak","given":"Kemas Rahmat","non-dropping-particle":"","parse-names":false,"suffix":""},{"dropping-particle":"","family":"Ihsan","given":"Helli","non-dropping-particle":"","parse-names":false,"suffix":""},{"dropping-particle":"","family":"Wyandini","given":"Diah Zaleha","non-dropping-particle":"","parse-names":false,"suffix":""}],"container-title":"Jurnal Elemen","id":"ITEM-1","issue":"1","issued":{"date-parts":[["2022"]]},"page":"276-289","title":"Development of math efficacy scale for junior high school student in indonesia","type":"article-journal","volume":"8"},"uris":["http://www.mendeley.com/documents/?uuid=c741d072-f2fa-458b-92e6-ccbf0512ddc4"]}],"mendeley":{"formattedCitation":"(Mubarrak et al., 2022)","plainTextFormattedCitation":"(Mubarrak et al., 2022)","previouslyFormattedCitation":"(Mubarrak et al., 2022)"},"properties":{"noteIndex":0},"schema":"https://github.com/citation-style-language/schema/raw/master/csl-citation.json"}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(Mubarrak et al., 2022)</w:t>
      </w:r>
      <w:r w:rsidR="0096578A" w:rsidRPr="00962996">
        <w:rPr>
          <w:rFonts w:ascii="Times New Roman" w:hAnsi="Times New Roman" w:cs="Times New Roman"/>
          <w:sz w:val="24"/>
          <w:szCs w:val="24"/>
        </w:rPr>
        <w:fldChar w:fldCharType="end"/>
      </w:r>
      <w:r w:rsidRPr="00962996">
        <w:rPr>
          <w:rFonts w:ascii="Times New Roman" w:hAnsi="Times New Roman" w:cs="Times New Roman"/>
          <w:sz w:val="24"/>
          <w:szCs w:val="24"/>
        </w:rPr>
        <w:t>. AUKEMI consists of 23 items which consist of four dimensions, namely positive views (</w:t>
      </w:r>
      <w:r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I am confident about my answers when calculating math problems</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 xml:space="preserve">negative affect </w:t>
      </w:r>
      <w:r w:rsidRPr="00962996">
        <w:rPr>
          <w:rFonts w:ascii="Times New Roman" w:hAnsi="Times New Roman" w:cs="Times New Roman"/>
          <w:sz w:val="24"/>
          <w:szCs w:val="24"/>
        </w:rPr>
        <w:t>(</w:t>
      </w:r>
      <w:r w:rsidRPr="00962996">
        <w:rPr>
          <w:rFonts w:ascii="Times New Roman" w:hAnsi="Times New Roman" w:cs="Times New Roman"/>
          <w:sz w:val="24"/>
          <w:szCs w:val="24"/>
          <w:lang w:val="en-US"/>
        </w:rPr>
        <w:t xml:space="preserve">e.g. </w:t>
      </w:r>
      <w:r w:rsidRPr="00962996">
        <w:rPr>
          <w:rFonts w:ascii="Times New Roman" w:hAnsi="Times New Roman" w:cs="Times New Roman"/>
          <w:sz w:val="24"/>
          <w:szCs w:val="24"/>
        </w:rPr>
        <w:t>“</w:t>
      </w:r>
      <w:r w:rsidR="00232060" w:rsidRPr="00962996">
        <w:rPr>
          <w:rFonts w:ascii="Times New Roman" w:hAnsi="Times New Roman" w:cs="Times New Roman"/>
          <w:sz w:val="24"/>
          <w:szCs w:val="24"/>
        </w:rPr>
        <w:t>I feel math is a terrifying subject</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 xml:space="preserve">math application </w:t>
      </w:r>
      <w:r w:rsidRPr="00962996">
        <w:rPr>
          <w:rFonts w:ascii="Times New Roman" w:hAnsi="Times New Roman" w:cs="Times New Roman"/>
          <w:sz w:val="24"/>
          <w:szCs w:val="24"/>
        </w:rPr>
        <w:t>(</w:t>
      </w:r>
      <w:r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I am able to calculate and manage the money that I use daily</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and out-of-class learning</w:t>
      </w:r>
      <w:r w:rsidRPr="00962996">
        <w:rPr>
          <w:rFonts w:ascii="Times New Roman" w:hAnsi="Times New Roman" w:cs="Times New Roman"/>
          <w:sz w:val="24"/>
          <w:szCs w:val="24"/>
        </w:rPr>
        <w:t xml:space="preserve"> (</w:t>
      </w:r>
      <w:r w:rsidRPr="00962996">
        <w:rPr>
          <w:rFonts w:ascii="Times New Roman" w:hAnsi="Times New Roman" w:cs="Times New Roman"/>
          <w:sz w:val="24"/>
          <w:szCs w:val="24"/>
          <w:lang w:val="en-US"/>
        </w:rPr>
        <w:t>e.g.</w:t>
      </w:r>
      <w:r w:rsidRPr="00962996">
        <w:rPr>
          <w:rFonts w:ascii="Times New Roman" w:hAnsi="Times New Roman" w:cs="Times New Roman"/>
          <w:sz w:val="24"/>
          <w:szCs w:val="24"/>
        </w:rPr>
        <w:t xml:space="preserve"> “</w:t>
      </w:r>
      <w:r w:rsidR="00232060" w:rsidRPr="00962996">
        <w:rPr>
          <w:rFonts w:ascii="Times New Roman" w:hAnsi="Times New Roman" w:cs="Times New Roman"/>
          <w:sz w:val="24"/>
          <w:szCs w:val="24"/>
        </w:rPr>
        <w:t>I have an extra time to study outside of class to learn math</w:t>
      </w:r>
      <w:r w:rsidRPr="00962996">
        <w:rPr>
          <w:rFonts w:ascii="Times New Roman" w:hAnsi="Times New Roman" w:cs="Times New Roman"/>
          <w:sz w:val="24"/>
          <w:szCs w:val="24"/>
        </w:rPr>
        <w:t xml:space="preserve">”). </w:t>
      </w:r>
      <w:r w:rsidR="009B5FF3" w:rsidRPr="00962996">
        <w:rPr>
          <w:rFonts w:ascii="Times New Roman" w:hAnsi="Times New Roman" w:cs="Times New Roman"/>
          <w:sz w:val="24"/>
          <w:szCs w:val="24"/>
        </w:rPr>
        <w:t>With a range of answer options ranging from 1 (Strongly Disagree), 2 (Disagree), 3 (Neutral), 4 (Agree), and 5 (Strongly Agree)</w:t>
      </w:r>
      <w:r w:rsidRPr="00962996">
        <w:rPr>
          <w:rFonts w:ascii="Times New Roman" w:hAnsi="Times New Roman" w:cs="Times New Roman"/>
          <w:sz w:val="24"/>
          <w:szCs w:val="24"/>
        </w:rPr>
        <w:t xml:space="preserve">. </w:t>
      </w:r>
      <w:r w:rsidR="002200D0" w:rsidRPr="00962996">
        <w:rPr>
          <w:rFonts w:ascii="Times New Roman" w:hAnsi="Times New Roman" w:cs="Times New Roman"/>
          <w:sz w:val="24"/>
          <w:szCs w:val="24"/>
        </w:rPr>
        <w:t>Whereas all items in the negative affect dimension are unfavorable items, so the calculation of the score is reversed</w:t>
      </w:r>
      <w:r w:rsidRPr="00962996">
        <w:rPr>
          <w:rFonts w:ascii="Times New Roman" w:hAnsi="Times New Roman" w:cs="Times New Roman"/>
          <w:sz w:val="24"/>
          <w:szCs w:val="24"/>
        </w:rPr>
        <w:t xml:space="preserve">. </w:t>
      </w:r>
      <w:r w:rsidR="00357EC9" w:rsidRPr="00962996">
        <w:rPr>
          <w:rFonts w:ascii="Times New Roman" w:hAnsi="Times New Roman" w:cs="Times New Roman"/>
          <w:sz w:val="24"/>
          <w:szCs w:val="24"/>
        </w:rPr>
        <w:t xml:space="preserve">The reliability of AUKEMI on positive view was 0.92, the negative effect was 0.83, the math application was 0.79, and learning out of class was 0.72, and the overall reliability was 0.918 </w:t>
      </w:r>
      <w:r w:rsidR="0096578A" w:rsidRPr="00962996">
        <w:rPr>
          <w:rFonts w:ascii="Times New Roman" w:hAnsi="Times New Roman" w:cs="Times New Roman"/>
          <w:sz w:val="24"/>
          <w:szCs w:val="24"/>
        </w:rPr>
        <w:fldChar w:fldCharType="begin" w:fldLock="1"/>
      </w:r>
      <w:r w:rsidR="00C96042" w:rsidRPr="00962996">
        <w:rPr>
          <w:rFonts w:ascii="Times New Roman" w:hAnsi="Times New Roman" w:cs="Times New Roman"/>
          <w:sz w:val="24"/>
          <w:szCs w:val="24"/>
        </w:rPr>
        <w:instrText>ADDIN CSL_CITATION {"citationItems":[{"id":"ITEM-1","itemData":{"DOI":"10.29408/jel.v8i1.4522","abstract":"Indonesian students are indicated to have a low math efficacy. Currently, no psychology scale has been created to measure the math efficacy of Indonesian students, especially for junior high school level students. This study aims to develop a math efficacy scale for junior high school level students or equivalent based on Indonesian students’ characteristics. The study used an exploratory sequential design with mixed methods. The results of qualitative analysis through focused group interviews on two small groups of eight students show that seven major themes were related to mathematics efficacy. Qualitative analysis as the basis for a scale development consisting of 33 items and is administered to 478 participants. The results of the quantitative analysis through validity test with Principal Component Analysis (PCA) shows that four dimensions appeared with total variance explained reaching 60.4%. The model was re-tested for compatibility with Confirmatory Factor Analysis (CFA) and obtained index values of p &lt; 0.001 (χ2), 0.047 (SRMR), 0.907 (TLI), 0.918 (CFI), and 0.064 (RMSEA). The four dimensions have met the standard of a fit index with 23 items remaining. The validity test was also supported by Pearson's Product Moment correlation of 0.795 for convergent validity test with Math Attitude Scale (MAS) and divergent validity test of -0.331 with Mathematical Self- Efficacy and Anxiety Questionnaire (MSEAQ). The scale's reliability was very good, with Cronbach's alpha value of 0.918. Keywords:","author":[{"dropping-particle":"","family":"Mubarrak","given":"Kemas Rahmat","non-dropping-particle":"","parse-names":false,"suffix":""},{"dropping-particle":"","family":"Ihsan","given":"Helli","non-dropping-particle":"","parse-names":false,"suffix":""},{"dropping-particle":"","family":"Wyandini","given":"Diah Zaleha","non-dropping-particle":"","parse-names":false,"suffix":""}],"container-title":"Jurnal Elemen","id":"ITEM-1","issue":"1","issued":{"date-parts":[["2022"]]},"page":"276-289","title":"Development of math efficacy scale for junior high school student in indonesia","type":"article-journal","volume":"8"},"uris":["http://www.mendeley.com/documents/?uuid=c741d072-f2fa-458b-92e6-ccbf0512ddc4"]}],"mendeley":{"formattedCitation":"(Mubarrak et al., 2022)","plainTextFormattedCitation":"(Mubarrak et al., 2022)","previouslyFormattedCitation":"(Mubarrak et al., 2022)"},"properties":{"noteIndex":0},"schema":"https://github.com/citation-style-language/schema/raw/master/csl-citation.json"}</w:instrText>
      </w:r>
      <w:r w:rsidR="0096578A" w:rsidRPr="00962996">
        <w:rPr>
          <w:rFonts w:ascii="Times New Roman" w:hAnsi="Times New Roman" w:cs="Times New Roman"/>
          <w:sz w:val="24"/>
          <w:szCs w:val="24"/>
        </w:rPr>
        <w:fldChar w:fldCharType="separate"/>
      </w:r>
      <w:r w:rsidR="0096578A" w:rsidRPr="00962996">
        <w:rPr>
          <w:rFonts w:ascii="Times New Roman" w:hAnsi="Times New Roman" w:cs="Times New Roman"/>
          <w:noProof/>
          <w:sz w:val="24"/>
          <w:szCs w:val="24"/>
        </w:rPr>
        <w:t>(Mubarrak et al., 2022)</w:t>
      </w:r>
      <w:r w:rsidR="0096578A" w:rsidRPr="00962996">
        <w:rPr>
          <w:rFonts w:ascii="Times New Roman" w:hAnsi="Times New Roman" w:cs="Times New Roman"/>
          <w:sz w:val="24"/>
          <w:szCs w:val="24"/>
        </w:rPr>
        <w:fldChar w:fldCharType="end"/>
      </w:r>
      <w:r w:rsidR="0096578A" w:rsidRPr="00962996">
        <w:rPr>
          <w:rFonts w:ascii="Times New Roman" w:hAnsi="Times New Roman" w:cs="Times New Roman"/>
          <w:sz w:val="24"/>
          <w:szCs w:val="24"/>
          <w:lang w:val="en-US"/>
        </w:rPr>
        <w:t xml:space="preserve">. </w:t>
      </w:r>
      <w:r w:rsidR="005B7C79" w:rsidRPr="00962996">
        <w:rPr>
          <w:rFonts w:ascii="Times New Roman" w:hAnsi="Times New Roman" w:cs="Times New Roman"/>
          <w:sz w:val="24"/>
          <w:szCs w:val="24"/>
        </w:rPr>
        <w:t xml:space="preserve">The reliability test of the </w:t>
      </w:r>
      <w:r w:rsidR="005B7C79" w:rsidRPr="00962996">
        <w:rPr>
          <w:rFonts w:ascii="Times New Roman" w:hAnsi="Times New Roman" w:cs="Times New Roman"/>
          <w:sz w:val="24"/>
          <w:szCs w:val="24"/>
        </w:rPr>
        <w:lastRenderedPageBreak/>
        <w:t>AUKEMI scale after being administered to the subject, showed a Cronbach's alpha reliability result of α = 0.850</w:t>
      </w:r>
      <w:r w:rsidRPr="00962996">
        <w:rPr>
          <w:rFonts w:ascii="Times New Roman" w:hAnsi="Times New Roman" w:cs="Times New Roman"/>
          <w:sz w:val="24"/>
          <w:szCs w:val="24"/>
        </w:rPr>
        <w:t xml:space="preserve">. </w:t>
      </w:r>
      <w:r w:rsidR="00795C6B" w:rsidRPr="00962996">
        <w:rPr>
          <w:rFonts w:ascii="Times New Roman" w:hAnsi="Times New Roman" w:cs="Times New Roman"/>
          <w:sz w:val="24"/>
          <w:szCs w:val="24"/>
        </w:rPr>
        <w:t>The CFA results with the ML estimator are presented in Table 3, showing that the four dimensions have met the suitability index standard</w:t>
      </w:r>
      <w:r w:rsidR="00795C6B" w:rsidRPr="00962996">
        <w:rPr>
          <w:rFonts w:ascii="Times New Roman" w:hAnsi="Times New Roman" w:cs="Times New Roman"/>
          <w:sz w:val="24"/>
          <w:szCs w:val="24"/>
          <w:lang w:val="en-US"/>
        </w:rPr>
        <w:t>.</w:t>
      </w:r>
    </w:p>
    <w:p w:rsidR="005E2023" w:rsidRPr="00962996" w:rsidRDefault="005E2023" w:rsidP="00962996">
      <w:pPr>
        <w:spacing w:after="0" w:line="240" w:lineRule="auto"/>
        <w:jc w:val="both"/>
        <w:rPr>
          <w:rFonts w:ascii="Times New Roman" w:hAnsi="Times New Roman" w:cs="Times New Roman"/>
          <w:sz w:val="24"/>
          <w:szCs w:val="24"/>
        </w:rPr>
      </w:pPr>
    </w:p>
    <w:p w:rsidR="009653C4" w:rsidRPr="00962996" w:rsidRDefault="00000000" w:rsidP="00962996">
      <w:pPr>
        <w:spacing w:after="0" w:line="240" w:lineRule="auto"/>
        <w:jc w:val="both"/>
        <w:rPr>
          <w:rFonts w:ascii="Times New Roman" w:hAnsi="Times New Roman" w:cs="Times New Roman"/>
          <w:b/>
          <w:bCs/>
          <w:sz w:val="24"/>
          <w:szCs w:val="24"/>
        </w:rPr>
      </w:pPr>
      <w:r w:rsidRPr="00962996">
        <w:rPr>
          <w:rFonts w:ascii="Times New Roman" w:hAnsi="Times New Roman" w:cs="Times New Roman"/>
          <w:b/>
          <w:bCs/>
          <w:sz w:val="24"/>
          <w:szCs w:val="24"/>
        </w:rPr>
        <w:t>Tab</w:t>
      </w:r>
      <w:r w:rsidR="001067AC" w:rsidRPr="00962996">
        <w:rPr>
          <w:rFonts w:ascii="Times New Roman" w:hAnsi="Times New Roman" w:cs="Times New Roman"/>
          <w:b/>
          <w:bCs/>
          <w:sz w:val="24"/>
          <w:szCs w:val="24"/>
          <w:lang w:val="en-US"/>
        </w:rPr>
        <w:t>le</w:t>
      </w:r>
      <w:r w:rsidRPr="00962996">
        <w:rPr>
          <w:rFonts w:ascii="Times New Roman" w:hAnsi="Times New Roman" w:cs="Times New Roman"/>
          <w:b/>
          <w:bCs/>
          <w:sz w:val="24"/>
          <w:szCs w:val="24"/>
        </w:rPr>
        <w:t xml:space="preserve"> 2 </w:t>
      </w:r>
    </w:p>
    <w:p w:rsidR="0068200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CFA Model Fit Index Test on SAMAS</w:t>
      </w:r>
    </w:p>
    <w:tbl>
      <w:tblPr>
        <w:tblStyle w:val="TableGrid"/>
        <w:tblW w:w="0" w:type="auto"/>
        <w:tblLook w:val="04A0" w:firstRow="1" w:lastRow="0" w:firstColumn="1" w:lastColumn="0" w:noHBand="0" w:noVBand="1"/>
      </w:tblPr>
      <w:tblGrid>
        <w:gridCol w:w="1418"/>
        <w:gridCol w:w="3402"/>
        <w:gridCol w:w="1984"/>
        <w:gridCol w:w="2127"/>
      </w:tblGrid>
      <w:tr w:rsidR="00752569" w:rsidRPr="00962996" w:rsidTr="009653C4">
        <w:trPr>
          <w:trHeight w:val="476"/>
        </w:trPr>
        <w:tc>
          <w:tcPr>
            <w:tcW w:w="1418"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bookmarkStart w:id="1" w:name="_Hlk139482757"/>
            <w:r w:rsidRPr="00962996">
              <w:rPr>
                <w:rFonts w:ascii="Times New Roman" w:hAnsi="Times New Roman" w:cs="Times New Roman"/>
                <w:b/>
                <w:bCs/>
                <w:sz w:val="20"/>
                <w:szCs w:val="18"/>
              </w:rPr>
              <w:t>Fit Indices</w:t>
            </w:r>
          </w:p>
        </w:tc>
        <w:tc>
          <w:tcPr>
            <w:tcW w:w="3402"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Indices Value</w:t>
            </w:r>
          </w:p>
        </w:tc>
        <w:tc>
          <w:tcPr>
            <w:tcW w:w="1984"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Standard Value</w:t>
            </w:r>
          </w:p>
        </w:tc>
        <w:tc>
          <w:tcPr>
            <w:tcW w:w="2127"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Description</w:t>
            </w:r>
          </w:p>
        </w:tc>
      </w:tr>
      <w:tr w:rsidR="00752569" w:rsidRPr="00962996" w:rsidTr="009653C4">
        <w:trPr>
          <w:trHeight w:val="350"/>
        </w:trPr>
        <w:tc>
          <w:tcPr>
            <w:tcW w:w="1418"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χ</w:t>
            </w:r>
            <w:r w:rsidRPr="00962996">
              <w:rPr>
                <w:rFonts w:ascii="Times New Roman" w:hAnsi="Times New Roman" w:cs="Times New Roman"/>
                <w:bCs/>
                <w:sz w:val="20"/>
                <w:szCs w:val="18"/>
                <w:vertAlign w:val="superscript"/>
              </w:rPr>
              <w:t>2</w:t>
            </w:r>
          </w:p>
        </w:tc>
        <w:tc>
          <w:tcPr>
            <w:tcW w:w="3402"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157.541 (</w:t>
            </w:r>
            <w:r w:rsidRPr="00962996">
              <w:rPr>
                <w:rFonts w:ascii="Times New Roman" w:hAnsi="Times New Roman" w:cs="Times New Roman"/>
                <w:bCs/>
                <w:i/>
                <w:iCs/>
                <w:sz w:val="20"/>
                <w:szCs w:val="18"/>
              </w:rPr>
              <w:t>df</w:t>
            </w:r>
            <w:r w:rsidRPr="00962996">
              <w:rPr>
                <w:rFonts w:ascii="Times New Roman" w:hAnsi="Times New Roman" w:cs="Times New Roman"/>
                <w:bCs/>
                <w:sz w:val="20"/>
                <w:szCs w:val="18"/>
              </w:rPr>
              <w:t xml:space="preserve"> = 167; p = 0.688)</w:t>
            </w:r>
          </w:p>
        </w:tc>
        <w:tc>
          <w:tcPr>
            <w:tcW w:w="1984"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p &gt; 0.05</w:t>
            </w:r>
          </w:p>
        </w:tc>
        <w:tc>
          <w:tcPr>
            <w:tcW w:w="2127" w:type="dxa"/>
            <w:tcBorders>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55"/>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SRMR</w:t>
            </w:r>
          </w:p>
        </w:tc>
        <w:tc>
          <w:tcPr>
            <w:tcW w:w="3402"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0.062</w:t>
            </w:r>
          </w:p>
        </w:tc>
        <w:tc>
          <w:tcPr>
            <w:tcW w:w="1984"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&lt; 0.08</w:t>
            </w:r>
          </w:p>
        </w:tc>
        <w:tc>
          <w:tcPr>
            <w:tcW w:w="2127"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59"/>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TLI</w:t>
            </w:r>
          </w:p>
        </w:tc>
        <w:tc>
          <w:tcPr>
            <w:tcW w:w="3402"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1.003</w:t>
            </w:r>
          </w:p>
        </w:tc>
        <w:tc>
          <w:tcPr>
            <w:tcW w:w="1984"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&gt; 0.90</w:t>
            </w:r>
          </w:p>
        </w:tc>
        <w:tc>
          <w:tcPr>
            <w:tcW w:w="2127"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53"/>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CFI</w:t>
            </w:r>
          </w:p>
        </w:tc>
        <w:tc>
          <w:tcPr>
            <w:tcW w:w="3402"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1.000</w:t>
            </w:r>
          </w:p>
        </w:tc>
        <w:tc>
          <w:tcPr>
            <w:tcW w:w="1984"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&gt; 0.90</w:t>
            </w:r>
          </w:p>
        </w:tc>
        <w:tc>
          <w:tcPr>
            <w:tcW w:w="2127"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58"/>
        </w:trPr>
        <w:tc>
          <w:tcPr>
            <w:tcW w:w="1418"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RMSEA</w:t>
            </w:r>
          </w:p>
        </w:tc>
        <w:tc>
          <w:tcPr>
            <w:tcW w:w="3402"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lang w:val="en-US"/>
              </w:rPr>
            </w:pPr>
            <w:r w:rsidRPr="00962996">
              <w:rPr>
                <w:rFonts w:ascii="Times New Roman" w:hAnsi="Times New Roman" w:cs="Times New Roman"/>
                <w:bCs/>
                <w:sz w:val="20"/>
                <w:szCs w:val="18"/>
              </w:rPr>
              <w:t>0.0</w:t>
            </w:r>
            <w:r w:rsidRPr="00962996">
              <w:rPr>
                <w:rFonts w:ascii="Times New Roman" w:hAnsi="Times New Roman" w:cs="Times New Roman"/>
                <w:bCs/>
                <w:sz w:val="20"/>
                <w:szCs w:val="18"/>
                <w:lang w:val="en-US"/>
              </w:rPr>
              <w:t>00</w:t>
            </w:r>
          </w:p>
        </w:tc>
        <w:tc>
          <w:tcPr>
            <w:tcW w:w="1984"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&lt; 0.07</w:t>
            </w:r>
          </w:p>
        </w:tc>
        <w:tc>
          <w:tcPr>
            <w:tcW w:w="2127" w:type="dxa"/>
            <w:tcBorders>
              <w:top w:val="nil"/>
              <w:left w:val="nil"/>
              <w:right w:val="nil"/>
            </w:tcBorders>
          </w:tcPr>
          <w:p w:rsidR="009653C4" w:rsidRPr="00962996" w:rsidRDefault="00000000" w:rsidP="00962996">
            <w:pPr>
              <w:spacing w:line="288" w:lineRule="auto"/>
              <w:jc w:val="center"/>
              <w:rPr>
                <w:rFonts w:ascii="Times New Roman" w:hAnsi="Times New Roman" w:cs="Times New Roman"/>
                <w:bCs/>
                <w:sz w:val="20"/>
                <w:szCs w:val="18"/>
                <w:lang w:val="en-US"/>
              </w:rPr>
            </w:pPr>
            <w:r w:rsidRPr="00962996">
              <w:rPr>
                <w:rFonts w:ascii="Times New Roman" w:hAnsi="Times New Roman" w:cs="Times New Roman"/>
                <w:bCs/>
                <w:sz w:val="20"/>
                <w:szCs w:val="18"/>
                <w:lang w:val="en-US"/>
              </w:rPr>
              <w:t>-</w:t>
            </w:r>
          </w:p>
        </w:tc>
      </w:tr>
      <w:bookmarkEnd w:id="1"/>
    </w:tbl>
    <w:p w:rsidR="00682003" w:rsidRPr="00962996" w:rsidRDefault="00682003" w:rsidP="00962996">
      <w:pPr>
        <w:spacing w:after="0" w:line="240" w:lineRule="auto"/>
        <w:jc w:val="both"/>
        <w:rPr>
          <w:rFonts w:ascii="Times New Roman" w:hAnsi="Times New Roman" w:cs="Times New Roman"/>
          <w:b/>
          <w:bCs/>
          <w:sz w:val="24"/>
          <w:szCs w:val="24"/>
        </w:rPr>
      </w:pPr>
    </w:p>
    <w:p w:rsidR="009653C4" w:rsidRPr="00962996" w:rsidRDefault="00000000" w:rsidP="00962996">
      <w:pPr>
        <w:spacing w:after="0" w:line="240" w:lineRule="auto"/>
        <w:jc w:val="both"/>
        <w:rPr>
          <w:rFonts w:ascii="Times New Roman" w:hAnsi="Times New Roman" w:cs="Times New Roman"/>
          <w:b/>
          <w:bCs/>
          <w:sz w:val="24"/>
          <w:szCs w:val="24"/>
        </w:rPr>
      </w:pPr>
      <w:r w:rsidRPr="00962996">
        <w:rPr>
          <w:rFonts w:ascii="Times New Roman" w:hAnsi="Times New Roman" w:cs="Times New Roman"/>
          <w:b/>
          <w:bCs/>
          <w:sz w:val="24"/>
          <w:szCs w:val="24"/>
        </w:rPr>
        <w:t>Tab</w:t>
      </w:r>
      <w:r w:rsidR="001067AC" w:rsidRPr="00962996">
        <w:rPr>
          <w:rFonts w:ascii="Times New Roman" w:hAnsi="Times New Roman" w:cs="Times New Roman"/>
          <w:b/>
          <w:bCs/>
          <w:sz w:val="24"/>
          <w:szCs w:val="24"/>
          <w:lang w:val="en-US"/>
        </w:rPr>
        <w:t>le</w:t>
      </w:r>
      <w:r w:rsidRPr="00962996">
        <w:rPr>
          <w:rFonts w:ascii="Times New Roman" w:hAnsi="Times New Roman" w:cs="Times New Roman"/>
          <w:b/>
          <w:bCs/>
          <w:sz w:val="24"/>
          <w:szCs w:val="24"/>
        </w:rPr>
        <w:t xml:space="preserve"> 3</w:t>
      </w:r>
    </w:p>
    <w:p w:rsidR="009653C4"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lang w:val="en-US"/>
        </w:rPr>
        <w:t xml:space="preserve">CFA Model Fit Index Test on </w:t>
      </w:r>
      <w:r w:rsidRPr="00962996">
        <w:rPr>
          <w:rFonts w:ascii="Times New Roman" w:hAnsi="Times New Roman" w:cs="Times New Roman"/>
          <w:sz w:val="24"/>
          <w:szCs w:val="24"/>
        </w:rPr>
        <w:t>AUKEMI</w:t>
      </w:r>
    </w:p>
    <w:tbl>
      <w:tblPr>
        <w:tblStyle w:val="TableGrid"/>
        <w:tblW w:w="0" w:type="auto"/>
        <w:tblLook w:val="04A0" w:firstRow="1" w:lastRow="0" w:firstColumn="1" w:lastColumn="0" w:noHBand="0" w:noVBand="1"/>
      </w:tblPr>
      <w:tblGrid>
        <w:gridCol w:w="1418"/>
        <w:gridCol w:w="3260"/>
        <w:gridCol w:w="2268"/>
        <w:gridCol w:w="1985"/>
      </w:tblGrid>
      <w:tr w:rsidR="00752569" w:rsidRPr="00962996" w:rsidTr="009653C4">
        <w:trPr>
          <w:trHeight w:val="503"/>
        </w:trPr>
        <w:tc>
          <w:tcPr>
            <w:tcW w:w="1418"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Fit Indices</w:t>
            </w:r>
          </w:p>
        </w:tc>
        <w:tc>
          <w:tcPr>
            <w:tcW w:w="3260"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Indices Value</w:t>
            </w:r>
          </w:p>
        </w:tc>
        <w:tc>
          <w:tcPr>
            <w:tcW w:w="2268"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Standard Value</w:t>
            </w:r>
          </w:p>
        </w:tc>
        <w:tc>
          <w:tcPr>
            <w:tcW w:w="1985" w:type="dxa"/>
            <w:tcBorders>
              <w:left w:val="nil"/>
              <w:right w:val="nil"/>
            </w:tcBorders>
            <w:vAlign w:val="center"/>
          </w:tcPr>
          <w:p w:rsidR="009653C4" w:rsidRPr="00962996" w:rsidRDefault="00000000" w:rsidP="00962996">
            <w:pPr>
              <w:spacing w:line="288" w:lineRule="auto"/>
              <w:jc w:val="center"/>
              <w:rPr>
                <w:rFonts w:ascii="Times New Roman" w:hAnsi="Times New Roman" w:cs="Times New Roman"/>
                <w:b/>
                <w:bCs/>
                <w:sz w:val="20"/>
                <w:szCs w:val="18"/>
              </w:rPr>
            </w:pPr>
            <w:r w:rsidRPr="00962996">
              <w:rPr>
                <w:rFonts w:ascii="Times New Roman" w:hAnsi="Times New Roman" w:cs="Times New Roman"/>
                <w:b/>
                <w:bCs/>
                <w:sz w:val="20"/>
                <w:szCs w:val="18"/>
              </w:rPr>
              <w:t>Description</w:t>
            </w:r>
          </w:p>
        </w:tc>
      </w:tr>
      <w:tr w:rsidR="00752569" w:rsidRPr="00962996" w:rsidTr="009653C4">
        <w:trPr>
          <w:trHeight w:val="369"/>
        </w:trPr>
        <w:tc>
          <w:tcPr>
            <w:tcW w:w="1418"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χ</w:t>
            </w:r>
            <w:r w:rsidRPr="00962996">
              <w:rPr>
                <w:rFonts w:ascii="Times New Roman" w:hAnsi="Times New Roman" w:cs="Times New Roman"/>
                <w:bCs/>
                <w:sz w:val="20"/>
                <w:szCs w:val="18"/>
                <w:vertAlign w:val="superscript"/>
              </w:rPr>
              <w:t>2</w:t>
            </w:r>
          </w:p>
        </w:tc>
        <w:tc>
          <w:tcPr>
            <w:tcW w:w="3260"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p &lt; .001</w:t>
            </w:r>
          </w:p>
        </w:tc>
        <w:tc>
          <w:tcPr>
            <w:tcW w:w="2268" w:type="dxa"/>
            <w:tcBorders>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p &lt; .001</w:t>
            </w:r>
          </w:p>
        </w:tc>
        <w:tc>
          <w:tcPr>
            <w:tcW w:w="1985" w:type="dxa"/>
            <w:tcBorders>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lang w:val="en-US"/>
              </w:rPr>
            </w:pPr>
            <w:r w:rsidRPr="00962996">
              <w:rPr>
                <w:rFonts w:ascii="Times New Roman" w:hAnsi="Times New Roman" w:cs="Times New Roman"/>
                <w:bCs/>
                <w:sz w:val="20"/>
                <w:szCs w:val="18"/>
                <w:lang w:val="en-US"/>
              </w:rPr>
              <w:t>-</w:t>
            </w:r>
          </w:p>
        </w:tc>
      </w:tr>
      <w:tr w:rsidR="00752569" w:rsidRPr="00962996" w:rsidTr="009653C4">
        <w:trPr>
          <w:trHeight w:val="373"/>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SRMR</w:t>
            </w:r>
          </w:p>
        </w:tc>
        <w:tc>
          <w:tcPr>
            <w:tcW w:w="3260"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0.047</w:t>
            </w:r>
          </w:p>
        </w:tc>
        <w:tc>
          <w:tcPr>
            <w:tcW w:w="226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&lt; 0.08</w:t>
            </w:r>
          </w:p>
        </w:tc>
        <w:tc>
          <w:tcPr>
            <w:tcW w:w="1985"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79"/>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TLI</w:t>
            </w:r>
          </w:p>
        </w:tc>
        <w:tc>
          <w:tcPr>
            <w:tcW w:w="3260"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0.907</w:t>
            </w:r>
          </w:p>
        </w:tc>
        <w:tc>
          <w:tcPr>
            <w:tcW w:w="226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&gt; 0.90</w:t>
            </w:r>
          </w:p>
        </w:tc>
        <w:tc>
          <w:tcPr>
            <w:tcW w:w="1985"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72"/>
        </w:trPr>
        <w:tc>
          <w:tcPr>
            <w:tcW w:w="141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CFI</w:t>
            </w:r>
          </w:p>
        </w:tc>
        <w:tc>
          <w:tcPr>
            <w:tcW w:w="3260"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0.918</w:t>
            </w:r>
          </w:p>
        </w:tc>
        <w:tc>
          <w:tcPr>
            <w:tcW w:w="2268" w:type="dxa"/>
            <w:tcBorders>
              <w:top w:val="nil"/>
              <w:left w:val="nil"/>
              <w:bottom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&gt; 0.90</w:t>
            </w:r>
          </w:p>
        </w:tc>
        <w:tc>
          <w:tcPr>
            <w:tcW w:w="1985" w:type="dxa"/>
            <w:tcBorders>
              <w:top w:val="nil"/>
              <w:left w:val="nil"/>
              <w:bottom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r w:rsidR="00752569" w:rsidRPr="00962996" w:rsidTr="009653C4">
        <w:trPr>
          <w:trHeight w:val="377"/>
        </w:trPr>
        <w:tc>
          <w:tcPr>
            <w:tcW w:w="1418"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RMSEA</w:t>
            </w:r>
          </w:p>
        </w:tc>
        <w:tc>
          <w:tcPr>
            <w:tcW w:w="3260"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0.064</w:t>
            </w:r>
          </w:p>
        </w:tc>
        <w:tc>
          <w:tcPr>
            <w:tcW w:w="2268" w:type="dxa"/>
            <w:tcBorders>
              <w:top w:val="nil"/>
              <w:left w:val="nil"/>
              <w:right w:val="nil"/>
            </w:tcBorders>
            <w:vAlign w:val="center"/>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&lt; 0.07</w:t>
            </w:r>
          </w:p>
        </w:tc>
        <w:tc>
          <w:tcPr>
            <w:tcW w:w="1985" w:type="dxa"/>
            <w:tcBorders>
              <w:top w:val="nil"/>
              <w:left w:val="nil"/>
              <w:right w:val="nil"/>
            </w:tcBorders>
          </w:tcPr>
          <w:p w:rsidR="009653C4" w:rsidRPr="00962996" w:rsidRDefault="00000000" w:rsidP="00962996">
            <w:pPr>
              <w:spacing w:line="288" w:lineRule="auto"/>
              <w:jc w:val="center"/>
              <w:rPr>
                <w:rFonts w:ascii="Times New Roman" w:hAnsi="Times New Roman" w:cs="Times New Roman"/>
                <w:bCs/>
                <w:sz w:val="20"/>
                <w:szCs w:val="18"/>
              </w:rPr>
            </w:pPr>
            <w:r w:rsidRPr="00962996">
              <w:rPr>
                <w:rFonts w:ascii="Times New Roman" w:hAnsi="Times New Roman" w:cs="Times New Roman"/>
                <w:bCs/>
                <w:sz w:val="20"/>
                <w:szCs w:val="18"/>
              </w:rPr>
              <w:t>Model Fit</w:t>
            </w:r>
          </w:p>
        </w:tc>
      </w:tr>
    </w:tbl>
    <w:p w:rsidR="009653C4" w:rsidRPr="00962996" w:rsidRDefault="00000000" w:rsidP="00962996">
      <w:pPr>
        <w:spacing w:after="0" w:line="288" w:lineRule="auto"/>
        <w:rPr>
          <w:rFonts w:ascii="Times New Roman" w:hAnsi="Times New Roman" w:cs="Times New Roman"/>
          <w:bCs/>
          <w:sz w:val="20"/>
          <w:szCs w:val="18"/>
          <w:lang w:val="en-US"/>
        </w:rPr>
      </w:pPr>
      <w:r w:rsidRPr="00962996">
        <w:rPr>
          <w:rFonts w:ascii="Times New Roman" w:hAnsi="Times New Roman" w:cs="Times New Roman"/>
          <w:bCs/>
          <w:i/>
          <w:iCs/>
          <w:sz w:val="20"/>
          <w:szCs w:val="18"/>
          <w:lang w:val="en-US"/>
        </w:rPr>
        <w:t>Source.</w:t>
      </w:r>
      <w:r w:rsidRPr="00962996">
        <w:rPr>
          <w:rFonts w:ascii="Times New Roman" w:hAnsi="Times New Roman" w:cs="Times New Roman"/>
          <w:bCs/>
          <w:sz w:val="20"/>
          <w:szCs w:val="18"/>
          <w:lang w:val="en-US"/>
        </w:rPr>
        <w:t xml:space="preserve"> </w:t>
      </w:r>
      <w:r w:rsidR="00C96042" w:rsidRPr="00962996">
        <w:rPr>
          <w:rFonts w:ascii="Times New Roman" w:hAnsi="Times New Roman" w:cs="Times New Roman"/>
          <w:bCs/>
          <w:sz w:val="20"/>
          <w:szCs w:val="18"/>
          <w:lang w:val="en-US"/>
        </w:rPr>
        <w:fldChar w:fldCharType="begin" w:fldLock="1"/>
      </w:r>
      <w:r w:rsidR="00C96042" w:rsidRPr="00962996">
        <w:rPr>
          <w:rFonts w:ascii="Times New Roman" w:hAnsi="Times New Roman" w:cs="Times New Roman"/>
          <w:bCs/>
          <w:sz w:val="20"/>
          <w:szCs w:val="18"/>
          <w:lang w:val="en-US"/>
        </w:rPr>
        <w:instrText>ADDIN CSL_CITATION {"citationItems":[{"id":"ITEM-1","itemData":{"DOI":"10.29408/jel.v8i1.4522","abstract":"Indonesian students are indicated to have a low math efficacy. Currently, no psychology scale has been created to measure the math efficacy of Indonesian students, especially for junior high school level students. This study aims to develop a math efficacy scale for junior high school level students or equivalent based on Indonesian students’ characteristics. The study used an exploratory sequential design with mixed methods. The results of qualitative analysis through focused group interviews on two small groups of eight students show that seven major themes were related to mathematics efficacy. Qualitative analysis as the basis for a scale development consisting of 33 items and is administered to 478 participants. The results of the quantitative analysis through validity test with Principal Component Analysis (PCA) shows that four dimensions appeared with total variance explained reaching 60.4%. The model was re-tested for compatibility with Confirmatory Factor Analysis (CFA) and obtained index values of p &lt; 0.001 (χ2), 0.047 (SRMR), 0.907 (TLI), 0.918 (CFI), and 0.064 (RMSEA). The four dimensions have met the standard of a fit index with 23 items remaining. The validity test was also supported by Pearson's Product Moment correlation of 0.795 for convergent validity test with Math Attitude Scale (MAS) and divergent validity test of -0.331 with Mathematical Self- Efficacy and Anxiety Questionnaire (MSEAQ). The scale's reliability was very good, with Cronbach's alpha value of 0.918. Keywords:","author":[{"dropping-particle":"","family":"Mubarrak","given":"Kemas Rahmat","non-dropping-particle":"","parse-names":false,"suffix":""},{"dropping-particle":"","family":"Ihsan","given":"Helli","non-dropping-particle":"","parse-names":false,"suffix":""},{"dropping-particle":"","family":"Wyandini","given":"Diah Zaleha","non-dropping-particle":"","parse-names":false,"suffix":""}],"container-title":"Jurnal Elemen","id":"ITEM-1","issue":"1","issued":{"date-parts":[["2022"]]},"page":"276-289","title":"Development of math efficacy scale for junior high school student in indonesia","type":"article-journal","volume":"8"},"uris":["http://www.mendeley.com/documents/?uuid=c741d072-f2fa-458b-92e6-ccbf0512ddc4"]}],"mendeley":{"formattedCitation":"(Mubarrak et al., 2022)","manualFormatting":"Mubarrak et al. (2022)","plainTextFormattedCitation":"(Mubarrak et al., 2022)","previouslyFormattedCitation":"(Mubarrak et al., 2022)"},"properties":{"noteIndex":0},"schema":"https://github.com/citation-style-language/schema/raw/master/csl-citation.json"}</w:instrText>
      </w:r>
      <w:r w:rsidR="00C96042" w:rsidRPr="00962996">
        <w:rPr>
          <w:rFonts w:ascii="Times New Roman" w:hAnsi="Times New Roman" w:cs="Times New Roman"/>
          <w:bCs/>
          <w:sz w:val="20"/>
          <w:szCs w:val="18"/>
          <w:lang w:val="en-US"/>
        </w:rPr>
        <w:fldChar w:fldCharType="separate"/>
      </w:r>
      <w:r w:rsidR="00C96042" w:rsidRPr="00962996">
        <w:rPr>
          <w:rFonts w:ascii="Times New Roman" w:hAnsi="Times New Roman" w:cs="Times New Roman"/>
          <w:bCs/>
          <w:noProof/>
          <w:sz w:val="20"/>
          <w:szCs w:val="18"/>
          <w:lang w:val="en-US"/>
        </w:rPr>
        <w:t>Mubarrak et al. (2022)</w:t>
      </w:r>
      <w:r w:rsidR="00C96042" w:rsidRPr="00962996">
        <w:rPr>
          <w:rFonts w:ascii="Times New Roman" w:hAnsi="Times New Roman" w:cs="Times New Roman"/>
          <w:bCs/>
          <w:sz w:val="20"/>
          <w:szCs w:val="18"/>
          <w:lang w:val="en-US"/>
        </w:rPr>
        <w:fldChar w:fldCharType="end"/>
      </w:r>
      <w:r w:rsidR="00C96042" w:rsidRPr="00962996">
        <w:rPr>
          <w:rFonts w:ascii="Times New Roman" w:hAnsi="Times New Roman" w:cs="Times New Roman"/>
          <w:bCs/>
          <w:sz w:val="20"/>
          <w:szCs w:val="18"/>
          <w:lang w:val="en-US"/>
        </w:rPr>
        <w:t xml:space="preserve"> </w:t>
      </w:r>
    </w:p>
    <w:p w:rsidR="005E2023" w:rsidRPr="00962996" w:rsidRDefault="005E2023" w:rsidP="00962996">
      <w:pPr>
        <w:spacing w:after="0" w:line="288" w:lineRule="auto"/>
        <w:rPr>
          <w:rFonts w:ascii="Times New Roman" w:hAnsi="Times New Roman" w:cs="Times New Roman"/>
          <w:bCs/>
          <w:sz w:val="20"/>
          <w:szCs w:val="18"/>
        </w:rPr>
      </w:pPr>
    </w:p>
    <w:p w:rsidR="009653C4"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t xml:space="preserve">Meanwhile, mathematics performance is measured based on the original mathematics score on the Odd Semester Final Examination which is compiled based on the applicable curriculum at school and has been given to each student according to grade level. </w:t>
      </w:r>
      <w:r w:rsidR="00283912" w:rsidRPr="00962996">
        <w:rPr>
          <w:rFonts w:ascii="Times New Roman" w:hAnsi="Times New Roman" w:cs="Times New Roman"/>
          <w:sz w:val="24"/>
          <w:szCs w:val="24"/>
        </w:rPr>
        <w:t>The score data is obtained from the original document of the odd semester final exam results in mathematics which have been obtained by researchers from the school administration</w:t>
      </w:r>
      <w:r w:rsidRPr="00962996">
        <w:rPr>
          <w:rFonts w:ascii="Times New Roman" w:hAnsi="Times New Roman" w:cs="Times New Roman"/>
          <w:sz w:val="24"/>
          <w:szCs w:val="24"/>
        </w:rPr>
        <w:t>.</w:t>
      </w:r>
    </w:p>
    <w:p w:rsidR="009653C4"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data analysis in this study used a mediated path analysis model by using JASP 0.14.1.0 software to see the direct effect (i.e. the relationship between math anxiety and math performance). And the indirect effect (i.e. the mediating role of math self-efficacy on the relationship between math anxiety and math performance).</w:t>
      </w:r>
    </w:p>
    <w:p w:rsidR="00C20535" w:rsidRPr="00962996" w:rsidRDefault="00C20535" w:rsidP="00962996">
      <w:pPr>
        <w:spacing w:after="0" w:line="240" w:lineRule="auto"/>
        <w:jc w:val="both"/>
        <w:rPr>
          <w:rFonts w:ascii="Times New Roman" w:hAnsi="Times New Roman" w:cs="Times New Roman"/>
          <w:b/>
          <w:bCs/>
          <w:sz w:val="24"/>
          <w:szCs w:val="24"/>
        </w:rPr>
      </w:pPr>
    </w:p>
    <w:p w:rsidR="00845E8D"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Result</w:t>
      </w:r>
    </w:p>
    <w:p w:rsidR="0071226E"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Descriptive Statistics Analysis</w:t>
      </w:r>
    </w:p>
    <w:p w:rsidR="00366592"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 xml:space="preserve">The results of descriptive statistical analysis in Table 4 showed an average math anxiety score of 66,153 (SD = 11,087), math self-efficacy of 102,644 (SD = 33,530), and mathematical performance of 34,936 (SD = 13,404), so the data showed heterogeneous traits. </w:t>
      </w:r>
    </w:p>
    <w:p w:rsidR="005E2023" w:rsidRPr="00962996" w:rsidRDefault="005E2023" w:rsidP="00962996">
      <w:pPr>
        <w:spacing w:after="0" w:line="240" w:lineRule="auto"/>
        <w:jc w:val="both"/>
        <w:rPr>
          <w:rFonts w:ascii="Times New Roman" w:hAnsi="Times New Roman" w:cs="Times New Roman"/>
          <w:sz w:val="24"/>
          <w:szCs w:val="24"/>
          <w:lang w:val="en-US"/>
        </w:rPr>
      </w:pPr>
    </w:p>
    <w:p w:rsidR="00043A3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Tab</w:t>
      </w:r>
      <w:r w:rsidR="001067AC" w:rsidRPr="00962996">
        <w:rPr>
          <w:rFonts w:ascii="Times New Roman" w:hAnsi="Times New Roman" w:cs="Times New Roman"/>
          <w:b/>
          <w:bCs/>
          <w:sz w:val="24"/>
          <w:szCs w:val="24"/>
          <w:lang w:val="en-US"/>
        </w:rPr>
        <w:t>le</w:t>
      </w:r>
      <w:r w:rsidRPr="00962996">
        <w:rPr>
          <w:rFonts w:ascii="Times New Roman" w:hAnsi="Times New Roman" w:cs="Times New Roman"/>
          <w:b/>
          <w:bCs/>
          <w:sz w:val="24"/>
          <w:szCs w:val="24"/>
          <w:lang w:val="en-US"/>
        </w:rPr>
        <w:t xml:space="preserve"> 4</w:t>
      </w:r>
    </w:p>
    <w:p w:rsidR="006241B6"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Descriptive Statistics Analysis</w:t>
      </w:r>
    </w:p>
    <w:tbl>
      <w:tblPr>
        <w:tblW w:w="9072" w:type="dxa"/>
        <w:tblCellMar>
          <w:top w:w="15" w:type="dxa"/>
          <w:left w:w="15" w:type="dxa"/>
          <w:bottom w:w="15" w:type="dxa"/>
          <w:right w:w="15" w:type="dxa"/>
        </w:tblCellMar>
        <w:tblLook w:val="04A0" w:firstRow="1" w:lastRow="0" w:firstColumn="1" w:lastColumn="0" w:noHBand="0" w:noVBand="1"/>
      </w:tblPr>
      <w:tblGrid>
        <w:gridCol w:w="1985"/>
        <w:gridCol w:w="1559"/>
        <w:gridCol w:w="2410"/>
        <w:gridCol w:w="3118"/>
      </w:tblGrid>
      <w:tr w:rsidR="00752569" w:rsidRPr="00962996" w:rsidTr="00043A37">
        <w:trPr>
          <w:tblHeader/>
        </w:trPr>
        <w:tc>
          <w:tcPr>
            <w:tcW w:w="9072" w:type="dxa"/>
            <w:gridSpan w:val="4"/>
            <w:tcBorders>
              <w:top w:val="nil"/>
              <w:left w:val="nil"/>
              <w:bottom w:val="single" w:sz="6" w:space="0" w:color="000000"/>
              <w:right w:val="nil"/>
            </w:tcBorders>
            <w:vAlign w:val="center"/>
            <w:hideMark/>
          </w:tcPr>
          <w:p w:rsidR="00043A37" w:rsidRPr="00962996" w:rsidRDefault="00043A37" w:rsidP="00962996">
            <w:pPr>
              <w:spacing w:after="0" w:line="240" w:lineRule="auto"/>
              <w:rPr>
                <w:rFonts w:ascii="Times New Roman" w:eastAsia="Times New Roman" w:hAnsi="Times New Roman" w:cs="Times New Roman"/>
                <w:b/>
                <w:bCs/>
                <w:sz w:val="24"/>
                <w:szCs w:val="24"/>
                <w:lang w:val="en-US"/>
              </w:rPr>
            </w:pPr>
          </w:p>
        </w:tc>
      </w:tr>
      <w:tr w:rsidR="00752569" w:rsidRPr="00962996" w:rsidTr="001067AC">
        <w:trPr>
          <w:tblHeader/>
        </w:trPr>
        <w:tc>
          <w:tcPr>
            <w:tcW w:w="1985" w:type="dxa"/>
            <w:tcBorders>
              <w:top w:val="nil"/>
              <w:left w:val="nil"/>
              <w:bottom w:val="single" w:sz="6" w:space="0" w:color="000000"/>
              <w:right w:val="nil"/>
            </w:tcBorders>
            <w:vAlign w:val="center"/>
            <w:hideMark/>
          </w:tcPr>
          <w:p w:rsidR="00043A37" w:rsidRPr="00962996" w:rsidRDefault="00000000" w:rsidP="00962996">
            <w:pPr>
              <w:spacing w:after="0" w:line="240" w:lineRule="auto"/>
              <w:jc w:val="center"/>
              <w:rPr>
                <w:rFonts w:ascii="Times New Roman" w:eastAsia="Times New Roman" w:hAnsi="Times New Roman" w:cs="Times New Roman"/>
                <w:b/>
                <w:bCs/>
                <w:sz w:val="20"/>
                <w:szCs w:val="20"/>
                <w:lang w:val="en-US"/>
              </w:rPr>
            </w:pPr>
            <w:r w:rsidRPr="00962996">
              <w:rPr>
                <w:rFonts w:ascii="Times New Roman" w:eastAsia="Times New Roman" w:hAnsi="Times New Roman" w:cs="Times New Roman"/>
                <w:b/>
                <w:bCs/>
                <w:sz w:val="20"/>
                <w:szCs w:val="20"/>
                <w:lang w:val="en-US"/>
              </w:rPr>
              <w:t xml:space="preserve">  </w:t>
            </w:r>
          </w:p>
        </w:tc>
        <w:tc>
          <w:tcPr>
            <w:tcW w:w="1559" w:type="dxa"/>
            <w:tcBorders>
              <w:top w:val="nil"/>
              <w:left w:val="nil"/>
              <w:bottom w:val="single" w:sz="6" w:space="0" w:color="000000"/>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b/>
                <w:bCs/>
                <w:sz w:val="20"/>
                <w:szCs w:val="20"/>
                <w:lang w:val="en-US"/>
              </w:rPr>
            </w:pPr>
            <w:r w:rsidRPr="00962996">
              <w:rPr>
                <w:rFonts w:ascii="Times New Roman" w:eastAsia="Times New Roman" w:hAnsi="Times New Roman" w:cs="Times New Roman"/>
                <w:b/>
                <w:bCs/>
                <w:sz w:val="20"/>
                <w:szCs w:val="20"/>
                <w:lang w:val="en-US"/>
              </w:rPr>
              <w:t>Math Anxiety</w:t>
            </w:r>
          </w:p>
        </w:tc>
        <w:tc>
          <w:tcPr>
            <w:tcW w:w="2410" w:type="dxa"/>
            <w:tcBorders>
              <w:top w:val="nil"/>
              <w:left w:val="nil"/>
              <w:bottom w:val="single" w:sz="6" w:space="0" w:color="000000"/>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b/>
                <w:bCs/>
                <w:sz w:val="20"/>
                <w:szCs w:val="20"/>
                <w:lang w:val="en-US"/>
              </w:rPr>
            </w:pPr>
            <w:r w:rsidRPr="00962996">
              <w:rPr>
                <w:rFonts w:ascii="Times New Roman" w:eastAsia="Times New Roman" w:hAnsi="Times New Roman" w:cs="Times New Roman"/>
                <w:b/>
                <w:bCs/>
                <w:sz w:val="20"/>
                <w:szCs w:val="20"/>
                <w:lang w:val="en-US"/>
              </w:rPr>
              <w:t xml:space="preserve">Math Self-Efficacy </w:t>
            </w:r>
          </w:p>
        </w:tc>
        <w:tc>
          <w:tcPr>
            <w:tcW w:w="3118" w:type="dxa"/>
            <w:tcBorders>
              <w:top w:val="nil"/>
              <w:left w:val="nil"/>
              <w:bottom w:val="single" w:sz="6" w:space="0" w:color="000000"/>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b/>
                <w:bCs/>
                <w:sz w:val="20"/>
                <w:szCs w:val="20"/>
                <w:lang w:val="en-US"/>
              </w:rPr>
            </w:pPr>
            <w:r w:rsidRPr="00962996">
              <w:rPr>
                <w:rFonts w:ascii="Times New Roman" w:eastAsia="Times New Roman" w:hAnsi="Times New Roman" w:cs="Times New Roman"/>
                <w:b/>
                <w:bCs/>
                <w:sz w:val="20"/>
                <w:szCs w:val="20"/>
                <w:lang w:val="en-US"/>
              </w:rPr>
              <w:t>Mathematics Performance</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Valid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236 </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236 </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236 </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Missing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0 </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0 </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0 </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lastRenderedPageBreak/>
              <w:t xml:space="preserve">Mean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102.644 </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66.153</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34.936 </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Std. Deviation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33.530</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11.087</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13.404 </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Variance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1124.239</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122.913</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179.677 </w:t>
            </w:r>
          </w:p>
        </w:tc>
      </w:tr>
      <w:tr w:rsidR="00752569" w:rsidRPr="00962996" w:rsidTr="001067AC">
        <w:trPr>
          <w:trHeight w:val="55"/>
        </w:trPr>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Minimum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13.000</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38.000</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5.000 </w:t>
            </w:r>
          </w:p>
        </w:tc>
      </w:tr>
      <w:tr w:rsidR="00752569" w:rsidRPr="00962996" w:rsidTr="001067AC">
        <w:tc>
          <w:tcPr>
            <w:tcW w:w="1985" w:type="dxa"/>
            <w:tcBorders>
              <w:top w:val="nil"/>
              <w:left w:val="nil"/>
              <w:bottom w:val="nil"/>
              <w:right w:val="nil"/>
            </w:tcBorders>
            <w:vAlign w:val="center"/>
            <w:hideMark/>
          </w:tcPr>
          <w:p w:rsidR="00043A37"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Maximum </w:t>
            </w:r>
          </w:p>
        </w:tc>
        <w:tc>
          <w:tcPr>
            <w:tcW w:w="1559"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184.000</w:t>
            </w:r>
          </w:p>
        </w:tc>
        <w:tc>
          <w:tcPr>
            <w:tcW w:w="2410"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101.000</w:t>
            </w:r>
          </w:p>
        </w:tc>
        <w:tc>
          <w:tcPr>
            <w:tcW w:w="3118" w:type="dxa"/>
            <w:tcBorders>
              <w:top w:val="nil"/>
              <w:left w:val="nil"/>
              <w:bottom w:val="nil"/>
              <w:right w:val="nil"/>
            </w:tcBorders>
            <w:vAlign w:val="center"/>
            <w:hideMark/>
          </w:tcPr>
          <w:p w:rsidR="00043A37" w:rsidRPr="00962996" w:rsidRDefault="00000000" w:rsidP="00962996">
            <w:pPr>
              <w:spacing w:after="0" w:line="240" w:lineRule="auto"/>
              <w:jc w:val="right"/>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 xml:space="preserve">85.000 </w:t>
            </w:r>
          </w:p>
        </w:tc>
      </w:tr>
      <w:tr w:rsidR="00752569" w:rsidRPr="00962996" w:rsidTr="00043A37">
        <w:tc>
          <w:tcPr>
            <w:tcW w:w="9072" w:type="dxa"/>
            <w:gridSpan w:val="4"/>
            <w:tcBorders>
              <w:top w:val="nil"/>
              <w:left w:val="nil"/>
              <w:bottom w:val="single" w:sz="12" w:space="0" w:color="000000"/>
              <w:right w:val="nil"/>
            </w:tcBorders>
            <w:vAlign w:val="center"/>
            <w:hideMark/>
          </w:tcPr>
          <w:p w:rsidR="00043A37" w:rsidRPr="00962996" w:rsidRDefault="00043A37" w:rsidP="00962996">
            <w:pPr>
              <w:spacing w:after="0" w:line="240" w:lineRule="auto"/>
              <w:rPr>
                <w:rFonts w:ascii="Times New Roman" w:eastAsia="Times New Roman" w:hAnsi="Times New Roman" w:cs="Times New Roman"/>
                <w:sz w:val="24"/>
                <w:szCs w:val="24"/>
                <w:lang w:val="en-US"/>
              </w:rPr>
            </w:pPr>
          </w:p>
        </w:tc>
      </w:tr>
    </w:tbl>
    <w:p w:rsidR="00043A37" w:rsidRPr="00962996" w:rsidRDefault="00043A37" w:rsidP="00962996">
      <w:pPr>
        <w:spacing w:after="0" w:line="240" w:lineRule="auto"/>
        <w:jc w:val="both"/>
        <w:rPr>
          <w:rFonts w:ascii="Times New Roman" w:hAnsi="Times New Roman" w:cs="Times New Roman"/>
          <w:sz w:val="24"/>
          <w:szCs w:val="24"/>
          <w:lang w:val="en-US"/>
        </w:rPr>
      </w:pPr>
    </w:p>
    <w:p w:rsidR="00B628ED"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normality test is determined based on the distribution plot diagram displayed on each variable. Based on the output display in Figure 2, it shows that the data distribution on the math anxiety and math self-efficacy variables, shows a bell-shaped data distribution pattern, so the data distribution is considered normally distributed. While in the math performance variable, the data distribution pattern in Figure 2 shows a distribution pattern that deviates to the left, although the data distribution pattern is still shaped like a bell, so the data on the math performance variable is interpreted as normally distributed data.</w:t>
      </w:r>
    </w:p>
    <w:p w:rsidR="00962996" w:rsidRPr="00962996" w:rsidRDefault="00962996" w:rsidP="00962996">
      <w:pPr>
        <w:spacing w:after="0" w:line="240" w:lineRule="auto"/>
        <w:jc w:val="both"/>
        <w:rPr>
          <w:rFonts w:ascii="Times New Roman" w:hAnsi="Times New Roman" w:cs="Times New Roman"/>
          <w:sz w:val="24"/>
          <w:szCs w:val="24"/>
          <w:lang w:val="en-US"/>
        </w:rPr>
      </w:pPr>
    </w:p>
    <w:p w:rsidR="00043A3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Figure 2</w:t>
      </w:r>
    </w:p>
    <w:p w:rsidR="00043A37" w:rsidRPr="00962996" w:rsidRDefault="00000000" w:rsidP="00962996">
      <w:pPr>
        <w:spacing w:after="0" w:line="240" w:lineRule="auto"/>
        <w:rPr>
          <w:rFonts w:ascii="Times New Roman" w:hAnsi="Times New Roman" w:cs="Times New Roman"/>
          <w:sz w:val="24"/>
          <w:szCs w:val="24"/>
          <w:lang w:val="en-US"/>
        </w:rPr>
      </w:pPr>
      <w:r w:rsidRPr="00962996">
        <w:rPr>
          <w:rFonts w:ascii="Times New Roman" w:hAnsi="Times New Roman" w:cs="Times New Roman"/>
          <w:sz w:val="24"/>
          <w:szCs w:val="24"/>
          <w:lang w:val="en-US"/>
        </w:rPr>
        <w:t>Distribution Plot Diagram of Math Anxiety, Math Self-Efficacy, and Mathematics Performance Variables</w:t>
      </w:r>
      <w:r w:rsidRPr="00962996">
        <w:rPr>
          <w:rFonts w:ascii="Times New Roman" w:hAnsi="Times New Roman" w:cs="Times New Roman"/>
          <w:noProof/>
          <w:sz w:val="24"/>
          <w:szCs w:val="24"/>
          <w:lang w:val="en-US"/>
        </w:rPr>
        <w:drawing>
          <wp:inline distT="0" distB="0" distL="0" distR="0">
            <wp:extent cx="5739220" cy="1275907"/>
            <wp:effectExtent l="0" t="0" r="0" b="635"/>
            <wp:docPr id="97714436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144365" name="Picture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5779979" cy="1284968"/>
                    </a:xfrm>
                    <a:prstGeom prst="rect">
                      <a:avLst/>
                    </a:prstGeom>
                    <a:noFill/>
                  </pic:spPr>
                </pic:pic>
              </a:graphicData>
            </a:graphic>
          </wp:inline>
        </w:drawing>
      </w:r>
    </w:p>
    <w:p w:rsidR="00043A37" w:rsidRPr="00962996" w:rsidRDefault="00043A37" w:rsidP="00962996">
      <w:pPr>
        <w:spacing w:after="0" w:line="240" w:lineRule="auto"/>
        <w:jc w:val="both"/>
        <w:rPr>
          <w:rFonts w:ascii="Times New Roman" w:hAnsi="Times New Roman" w:cs="Times New Roman"/>
          <w:sz w:val="24"/>
          <w:szCs w:val="24"/>
          <w:lang w:val="en-US"/>
        </w:rPr>
      </w:pPr>
    </w:p>
    <w:p w:rsidR="00043A3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Correlation Test</w:t>
      </w:r>
    </w:p>
    <w:p w:rsidR="00443B3C"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correlation test results in Table 5 show that no relationship existed between math anxiety and math performance (p=0.052). While the relationship between math anxiety and math self-efficacy shows a significant relationship (p&lt;.001), with a negative degree of relationship. This study also shows a positive and significant relationship between math self-efficacy and math performance (p=0.007).</w:t>
      </w:r>
    </w:p>
    <w:p w:rsidR="00182D85" w:rsidRPr="00962996" w:rsidRDefault="00182D85" w:rsidP="00962996">
      <w:pPr>
        <w:spacing w:after="0" w:line="240" w:lineRule="auto"/>
        <w:jc w:val="both"/>
        <w:rPr>
          <w:rFonts w:ascii="Times New Roman" w:hAnsi="Times New Roman" w:cs="Times New Roman"/>
          <w:sz w:val="24"/>
          <w:szCs w:val="24"/>
          <w:lang w:val="en-US"/>
        </w:rPr>
      </w:pPr>
    </w:p>
    <w:p w:rsidR="00043A3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Tabl</w:t>
      </w:r>
      <w:r w:rsidR="001067AC" w:rsidRPr="00962996">
        <w:rPr>
          <w:rFonts w:ascii="Times New Roman" w:hAnsi="Times New Roman" w:cs="Times New Roman"/>
          <w:b/>
          <w:bCs/>
          <w:sz w:val="24"/>
          <w:szCs w:val="24"/>
          <w:lang w:val="en-US"/>
        </w:rPr>
        <w:t>e</w:t>
      </w:r>
      <w:r w:rsidRPr="00962996">
        <w:rPr>
          <w:rFonts w:ascii="Times New Roman" w:hAnsi="Times New Roman" w:cs="Times New Roman"/>
          <w:b/>
          <w:bCs/>
          <w:sz w:val="24"/>
          <w:szCs w:val="24"/>
          <w:lang w:val="en-US"/>
        </w:rPr>
        <w:t xml:space="preserve"> 5</w:t>
      </w:r>
    </w:p>
    <w:p w:rsidR="00043A37"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Correlations Test</w:t>
      </w:r>
    </w:p>
    <w:tbl>
      <w:tblPr>
        <w:tblW w:w="9072" w:type="dxa"/>
        <w:tblLook w:val="04A0" w:firstRow="1" w:lastRow="0" w:firstColumn="1" w:lastColumn="0" w:noHBand="0" w:noVBand="1"/>
      </w:tblPr>
      <w:tblGrid>
        <w:gridCol w:w="2781"/>
        <w:gridCol w:w="1472"/>
        <w:gridCol w:w="1559"/>
        <w:gridCol w:w="1559"/>
        <w:gridCol w:w="1701"/>
      </w:tblGrid>
      <w:tr w:rsidR="00752569" w:rsidRPr="00962996" w:rsidTr="005E2023">
        <w:trPr>
          <w:trHeight w:val="300"/>
        </w:trPr>
        <w:tc>
          <w:tcPr>
            <w:tcW w:w="9072" w:type="dxa"/>
            <w:gridSpan w:val="5"/>
            <w:tcBorders>
              <w:top w:val="single" w:sz="4" w:space="0" w:color="auto"/>
              <w:left w:val="nil"/>
              <w:bottom w:val="single" w:sz="8" w:space="0" w:color="000000"/>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Pearson's Correlations</w:t>
            </w:r>
          </w:p>
        </w:tc>
      </w:tr>
      <w:tr w:rsidR="00752569" w:rsidRPr="00962996" w:rsidTr="001067AC">
        <w:trPr>
          <w:trHeight w:val="443"/>
        </w:trPr>
        <w:tc>
          <w:tcPr>
            <w:tcW w:w="2781" w:type="dxa"/>
            <w:tcBorders>
              <w:top w:val="nil"/>
              <w:left w:val="nil"/>
              <w:bottom w:val="single" w:sz="8" w:space="0" w:color="000000"/>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Variable</w:t>
            </w:r>
          </w:p>
        </w:tc>
        <w:tc>
          <w:tcPr>
            <w:tcW w:w="1472" w:type="dxa"/>
            <w:tcBorders>
              <w:top w:val="nil"/>
              <w:left w:val="nil"/>
              <w:bottom w:val="single" w:sz="8" w:space="0" w:color="000000"/>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 </w:t>
            </w:r>
          </w:p>
        </w:tc>
        <w:tc>
          <w:tcPr>
            <w:tcW w:w="1559" w:type="dxa"/>
            <w:tcBorders>
              <w:top w:val="nil"/>
              <w:left w:val="nil"/>
              <w:bottom w:val="single" w:sz="8" w:space="0" w:color="000000"/>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Math Self-Efficacy</w:t>
            </w:r>
          </w:p>
        </w:tc>
        <w:tc>
          <w:tcPr>
            <w:tcW w:w="1559" w:type="dxa"/>
            <w:tcBorders>
              <w:top w:val="nil"/>
              <w:left w:val="nil"/>
              <w:bottom w:val="single" w:sz="8" w:space="0" w:color="000000"/>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Math Anxiety</w:t>
            </w:r>
          </w:p>
        </w:tc>
        <w:tc>
          <w:tcPr>
            <w:tcW w:w="1701" w:type="dxa"/>
            <w:tcBorders>
              <w:top w:val="nil"/>
              <w:left w:val="nil"/>
              <w:bottom w:val="single" w:sz="8" w:space="0" w:color="000000"/>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b/>
                <w:bCs/>
                <w:color w:val="000000"/>
                <w:sz w:val="20"/>
                <w:szCs w:val="20"/>
                <w:lang w:val="en-US"/>
              </w:rPr>
            </w:pPr>
            <w:r w:rsidRPr="00962996">
              <w:rPr>
                <w:rFonts w:ascii="Times New Roman" w:eastAsia="Times New Roman" w:hAnsi="Times New Roman" w:cs="Times New Roman"/>
                <w:b/>
                <w:bCs/>
                <w:color w:val="000000"/>
                <w:sz w:val="20"/>
                <w:szCs w:val="20"/>
                <w:lang w:val="en-US"/>
              </w:rPr>
              <w:t>Mathematics Performance</w:t>
            </w:r>
          </w:p>
        </w:tc>
      </w:tr>
      <w:tr w:rsidR="00752569" w:rsidRPr="00962996" w:rsidTr="001067AC">
        <w:trPr>
          <w:trHeight w:val="283"/>
        </w:trPr>
        <w:tc>
          <w:tcPr>
            <w:tcW w:w="2781"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1. Math Self-Efficacy</w:t>
            </w:r>
          </w:p>
        </w:tc>
        <w:tc>
          <w:tcPr>
            <w:tcW w:w="1472"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Pearson's r</w:t>
            </w:r>
          </w:p>
        </w:tc>
        <w:tc>
          <w:tcPr>
            <w:tcW w:w="1559"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c>
          <w:tcPr>
            <w:tcW w:w="1559" w:type="dxa"/>
            <w:tcBorders>
              <w:top w:val="nil"/>
              <w:left w:val="nil"/>
              <w:bottom w:val="nil"/>
              <w:right w:val="nil"/>
            </w:tcBorders>
            <w:shd w:val="clear" w:color="auto" w:fill="auto"/>
            <w:vAlign w:val="center"/>
            <w:hideMark/>
          </w:tcPr>
          <w:p w:rsidR="00043A37" w:rsidRPr="00962996" w:rsidRDefault="00043A37" w:rsidP="00962996">
            <w:pPr>
              <w:spacing w:after="0" w:line="240" w:lineRule="auto"/>
              <w:jc w:val="center"/>
              <w:rPr>
                <w:rFonts w:ascii="Times New Roman" w:eastAsia="Times New Roman" w:hAnsi="Times New Roman" w:cs="Times New Roman"/>
                <w:color w:val="000000"/>
                <w:sz w:val="20"/>
                <w:szCs w:val="20"/>
                <w:lang w:val="en-US"/>
              </w:rPr>
            </w:pPr>
          </w:p>
        </w:tc>
        <w:tc>
          <w:tcPr>
            <w:tcW w:w="1701" w:type="dxa"/>
            <w:tcBorders>
              <w:top w:val="nil"/>
              <w:left w:val="nil"/>
              <w:bottom w:val="nil"/>
              <w:right w:val="nil"/>
            </w:tcBorders>
            <w:shd w:val="clear" w:color="auto" w:fill="auto"/>
            <w:vAlign w:val="center"/>
            <w:hideMark/>
          </w:tcPr>
          <w:p w:rsidR="00043A37" w:rsidRPr="00962996" w:rsidRDefault="00043A37" w:rsidP="00962996">
            <w:pPr>
              <w:spacing w:after="0" w:line="240" w:lineRule="auto"/>
              <w:jc w:val="center"/>
              <w:rPr>
                <w:rFonts w:ascii="Times New Roman" w:eastAsia="Times New Roman" w:hAnsi="Times New Roman" w:cs="Times New Roman"/>
                <w:sz w:val="20"/>
                <w:szCs w:val="20"/>
                <w:lang w:val="en-US"/>
              </w:rPr>
            </w:pPr>
          </w:p>
        </w:tc>
      </w:tr>
      <w:tr w:rsidR="00752569" w:rsidRPr="00962996" w:rsidTr="001067AC">
        <w:trPr>
          <w:trHeight w:val="283"/>
        </w:trPr>
        <w:tc>
          <w:tcPr>
            <w:tcW w:w="2781"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sz w:val="20"/>
                <w:szCs w:val="20"/>
                <w:lang w:val="en-US"/>
              </w:rPr>
            </w:pPr>
          </w:p>
        </w:tc>
        <w:tc>
          <w:tcPr>
            <w:tcW w:w="1472"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p-value</w:t>
            </w:r>
          </w:p>
        </w:tc>
        <w:tc>
          <w:tcPr>
            <w:tcW w:w="1559"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c>
          <w:tcPr>
            <w:tcW w:w="1559"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color w:val="000000"/>
                <w:sz w:val="20"/>
                <w:szCs w:val="20"/>
                <w:lang w:val="en-US"/>
              </w:rPr>
            </w:pPr>
          </w:p>
        </w:tc>
        <w:tc>
          <w:tcPr>
            <w:tcW w:w="1701"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sz w:val="20"/>
                <w:szCs w:val="20"/>
                <w:lang w:val="en-US"/>
              </w:rPr>
            </w:pPr>
          </w:p>
        </w:tc>
      </w:tr>
      <w:tr w:rsidR="00752569" w:rsidRPr="00962996" w:rsidTr="001067AC">
        <w:trPr>
          <w:trHeight w:val="283"/>
        </w:trPr>
        <w:tc>
          <w:tcPr>
            <w:tcW w:w="2781"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2. Math Anxiety</w:t>
            </w:r>
          </w:p>
        </w:tc>
        <w:tc>
          <w:tcPr>
            <w:tcW w:w="1472"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Pearson's r</w:t>
            </w:r>
          </w:p>
        </w:tc>
        <w:tc>
          <w:tcPr>
            <w:tcW w:w="1559"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-0.437</w:t>
            </w:r>
          </w:p>
        </w:tc>
        <w:tc>
          <w:tcPr>
            <w:tcW w:w="1559"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c>
          <w:tcPr>
            <w:tcW w:w="1701" w:type="dxa"/>
            <w:tcBorders>
              <w:top w:val="nil"/>
              <w:left w:val="nil"/>
              <w:bottom w:val="nil"/>
              <w:right w:val="nil"/>
            </w:tcBorders>
            <w:shd w:val="clear" w:color="auto" w:fill="auto"/>
            <w:vAlign w:val="center"/>
            <w:hideMark/>
          </w:tcPr>
          <w:p w:rsidR="00043A37" w:rsidRPr="00962996" w:rsidRDefault="00043A37" w:rsidP="00962996">
            <w:pPr>
              <w:spacing w:after="0" w:line="240" w:lineRule="auto"/>
              <w:jc w:val="center"/>
              <w:rPr>
                <w:rFonts w:ascii="Times New Roman" w:eastAsia="Times New Roman" w:hAnsi="Times New Roman" w:cs="Times New Roman"/>
                <w:color w:val="000000"/>
                <w:sz w:val="20"/>
                <w:szCs w:val="20"/>
                <w:lang w:val="en-US"/>
              </w:rPr>
            </w:pPr>
          </w:p>
        </w:tc>
      </w:tr>
      <w:tr w:rsidR="00752569" w:rsidRPr="00962996" w:rsidTr="001067AC">
        <w:trPr>
          <w:trHeight w:val="283"/>
        </w:trPr>
        <w:tc>
          <w:tcPr>
            <w:tcW w:w="2781"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sz w:val="20"/>
                <w:szCs w:val="20"/>
                <w:lang w:val="en-US"/>
              </w:rPr>
            </w:pPr>
          </w:p>
        </w:tc>
        <w:tc>
          <w:tcPr>
            <w:tcW w:w="1472"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p-value</w:t>
            </w:r>
          </w:p>
        </w:tc>
        <w:tc>
          <w:tcPr>
            <w:tcW w:w="1559"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&lt; .001</w:t>
            </w:r>
          </w:p>
        </w:tc>
        <w:tc>
          <w:tcPr>
            <w:tcW w:w="1559"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c>
          <w:tcPr>
            <w:tcW w:w="1701"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color w:val="000000"/>
                <w:sz w:val="20"/>
                <w:szCs w:val="20"/>
                <w:lang w:val="en-US"/>
              </w:rPr>
            </w:pPr>
          </w:p>
        </w:tc>
      </w:tr>
      <w:tr w:rsidR="00752569" w:rsidRPr="00962996" w:rsidTr="001067AC">
        <w:trPr>
          <w:trHeight w:val="283"/>
        </w:trPr>
        <w:tc>
          <w:tcPr>
            <w:tcW w:w="2781"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 xml:space="preserve">3. </w:t>
            </w:r>
            <w:r w:rsidR="001067AC" w:rsidRPr="00962996">
              <w:rPr>
                <w:rFonts w:ascii="Times New Roman" w:eastAsia="Times New Roman" w:hAnsi="Times New Roman" w:cs="Times New Roman"/>
                <w:color w:val="000000"/>
                <w:sz w:val="20"/>
                <w:szCs w:val="20"/>
                <w:lang w:val="en-US"/>
              </w:rPr>
              <w:t>Mathematics Performance</w:t>
            </w:r>
          </w:p>
        </w:tc>
        <w:tc>
          <w:tcPr>
            <w:tcW w:w="1472" w:type="dxa"/>
            <w:tcBorders>
              <w:top w:val="nil"/>
              <w:left w:val="nil"/>
              <w:bottom w:val="nil"/>
              <w:right w:val="nil"/>
            </w:tcBorders>
            <w:shd w:val="clear" w:color="auto" w:fill="auto"/>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Pearson's r</w:t>
            </w:r>
          </w:p>
        </w:tc>
        <w:tc>
          <w:tcPr>
            <w:tcW w:w="1559"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0.175</w:t>
            </w:r>
          </w:p>
        </w:tc>
        <w:tc>
          <w:tcPr>
            <w:tcW w:w="1559"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-0.127</w:t>
            </w:r>
          </w:p>
        </w:tc>
        <w:tc>
          <w:tcPr>
            <w:tcW w:w="1701" w:type="dxa"/>
            <w:tcBorders>
              <w:top w:val="nil"/>
              <w:left w:val="nil"/>
              <w:bottom w:val="nil"/>
              <w:right w:val="nil"/>
            </w:tcBorders>
            <w:shd w:val="clear" w:color="auto" w:fill="auto"/>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r>
      <w:tr w:rsidR="00752569" w:rsidRPr="00962996" w:rsidTr="001067AC">
        <w:trPr>
          <w:trHeight w:val="283"/>
        </w:trPr>
        <w:tc>
          <w:tcPr>
            <w:tcW w:w="2781" w:type="dxa"/>
            <w:tcBorders>
              <w:top w:val="nil"/>
              <w:left w:val="nil"/>
              <w:bottom w:val="nil"/>
              <w:right w:val="nil"/>
            </w:tcBorders>
            <w:shd w:val="clear" w:color="auto" w:fill="F2F2F2"/>
            <w:vAlign w:val="center"/>
            <w:hideMark/>
          </w:tcPr>
          <w:p w:rsidR="00043A37" w:rsidRPr="00962996" w:rsidRDefault="00043A37" w:rsidP="00962996">
            <w:pPr>
              <w:spacing w:after="0" w:line="240" w:lineRule="auto"/>
              <w:jc w:val="center"/>
              <w:rPr>
                <w:rFonts w:ascii="Times New Roman" w:eastAsia="Times New Roman" w:hAnsi="Times New Roman" w:cs="Times New Roman"/>
                <w:color w:val="000000"/>
                <w:sz w:val="20"/>
                <w:szCs w:val="20"/>
                <w:lang w:val="en-US"/>
              </w:rPr>
            </w:pPr>
          </w:p>
        </w:tc>
        <w:tc>
          <w:tcPr>
            <w:tcW w:w="1472"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p-value</w:t>
            </w:r>
          </w:p>
        </w:tc>
        <w:tc>
          <w:tcPr>
            <w:tcW w:w="1559"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0.007</w:t>
            </w:r>
          </w:p>
        </w:tc>
        <w:tc>
          <w:tcPr>
            <w:tcW w:w="1559"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0.052</w:t>
            </w:r>
          </w:p>
        </w:tc>
        <w:tc>
          <w:tcPr>
            <w:tcW w:w="1701" w:type="dxa"/>
            <w:tcBorders>
              <w:top w:val="nil"/>
              <w:left w:val="nil"/>
              <w:bottom w:val="nil"/>
              <w:right w:val="nil"/>
            </w:tcBorders>
            <w:shd w:val="clear" w:color="auto" w:fill="F2F2F2"/>
            <w:vAlign w:val="center"/>
            <w:hideMark/>
          </w:tcPr>
          <w:p w:rsidR="00043A37" w:rsidRPr="00962996" w:rsidRDefault="00000000" w:rsidP="00962996">
            <w:pPr>
              <w:spacing w:after="0" w:line="240" w:lineRule="auto"/>
              <w:jc w:val="center"/>
              <w:rPr>
                <w:rFonts w:ascii="Times New Roman" w:eastAsia="Times New Roman" w:hAnsi="Times New Roman" w:cs="Times New Roman"/>
                <w:color w:val="000000"/>
                <w:sz w:val="20"/>
                <w:szCs w:val="20"/>
                <w:lang w:val="en-US"/>
              </w:rPr>
            </w:pPr>
            <w:r w:rsidRPr="00962996">
              <w:rPr>
                <w:rFonts w:ascii="Times New Roman" w:eastAsia="Times New Roman" w:hAnsi="Times New Roman" w:cs="Times New Roman"/>
                <w:color w:val="000000"/>
                <w:sz w:val="20"/>
                <w:szCs w:val="20"/>
                <w:lang w:val="en-US"/>
              </w:rPr>
              <w:t>—</w:t>
            </w:r>
          </w:p>
        </w:tc>
      </w:tr>
      <w:tr w:rsidR="00752569" w:rsidRPr="00962996" w:rsidTr="00043A37">
        <w:trPr>
          <w:trHeight w:val="126"/>
        </w:trPr>
        <w:tc>
          <w:tcPr>
            <w:tcW w:w="9072" w:type="dxa"/>
            <w:gridSpan w:val="5"/>
            <w:tcBorders>
              <w:top w:val="nil"/>
              <w:left w:val="nil"/>
              <w:bottom w:val="single" w:sz="12" w:space="0" w:color="000000"/>
              <w:right w:val="nil"/>
            </w:tcBorders>
            <w:shd w:val="clear" w:color="auto" w:fill="auto"/>
            <w:vAlign w:val="center"/>
            <w:hideMark/>
          </w:tcPr>
          <w:p w:rsidR="00043A37" w:rsidRPr="00962996" w:rsidRDefault="00000000" w:rsidP="00962996">
            <w:pPr>
              <w:spacing w:after="0" w:line="240" w:lineRule="auto"/>
              <w:jc w:val="right"/>
              <w:rPr>
                <w:rFonts w:ascii="Times New Roman" w:eastAsia="Times New Roman" w:hAnsi="Times New Roman" w:cs="Times New Roman"/>
                <w:color w:val="000000"/>
                <w:lang w:val="en-US"/>
              </w:rPr>
            </w:pPr>
            <w:r w:rsidRPr="00962996">
              <w:rPr>
                <w:rFonts w:ascii="Times New Roman" w:eastAsia="Times New Roman" w:hAnsi="Times New Roman" w:cs="Times New Roman"/>
                <w:color w:val="000000"/>
                <w:lang w:val="en-US"/>
              </w:rPr>
              <w:t> </w:t>
            </w:r>
          </w:p>
        </w:tc>
      </w:tr>
    </w:tbl>
    <w:p w:rsidR="004F072A" w:rsidRPr="00962996" w:rsidRDefault="004F072A" w:rsidP="00962996">
      <w:pPr>
        <w:spacing w:after="0" w:line="240" w:lineRule="auto"/>
        <w:jc w:val="both"/>
        <w:rPr>
          <w:rFonts w:ascii="Times New Roman" w:hAnsi="Times New Roman" w:cs="Times New Roman"/>
          <w:sz w:val="24"/>
          <w:szCs w:val="24"/>
          <w:lang w:val="en-US"/>
        </w:rPr>
      </w:pPr>
    </w:p>
    <w:p w:rsidR="004F072A"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Mediation Path Analysis</w:t>
      </w:r>
    </w:p>
    <w:p w:rsidR="00681FAA"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In this study, mediation path analysis was conducted to see the direct effect between math anxiety and math performance, and the indirect effect between math anxiety and math </w:t>
      </w:r>
      <w:r w:rsidRPr="00962996">
        <w:rPr>
          <w:rFonts w:ascii="Times New Roman" w:hAnsi="Times New Roman" w:cs="Times New Roman"/>
          <w:sz w:val="24"/>
          <w:szCs w:val="24"/>
          <w:lang w:val="en-US"/>
        </w:rPr>
        <w:lastRenderedPageBreak/>
        <w:t>performance with math self-efficacy as the mediator variable. Then the total effect estimates the direct effect and indirect effect. The results of the analysis that examined the direct effect between math anxiety and math performance in Table 6, showed a z-value = 0.873 and p = 0.382 (p&gt;0.05), indicating that there is no direct effect between math anxiety and math performance.</w:t>
      </w:r>
    </w:p>
    <w:p w:rsidR="00AC5A07" w:rsidRPr="00962996" w:rsidRDefault="00AC5A07" w:rsidP="00962996">
      <w:pPr>
        <w:spacing w:after="0"/>
        <w:rPr>
          <w:rFonts w:ascii="Times New Roman" w:hAnsi="Times New Roman" w:cs="Times New Roman"/>
          <w:b/>
          <w:bCs/>
          <w:sz w:val="24"/>
          <w:szCs w:val="24"/>
          <w:lang w:val="en-US"/>
        </w:rPr>
      </w:pPr>
    </w:p>
    <w:p w:rsidR="00142703"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Table 6</w:t>
      </w:r>
    </w:p>
    <w:p w:rsidR="0014270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Direct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851"/>
        <w:gridCol w:w="567"/>
        <w:gridCol w:w="1276"/>
        <w:gridCol w:w="992"/>
        <w:gridCol w:w="1276"/>
        <w:gridCol w:w="850"/>
        <w:gridCol w:w="709"/>
        <w:gridCol w:w="1276"/>
        <w:gridCol w:w="1134"/>
      </w:tblGrid>
      <w:tr w:rsidR="00752569" w:rsidRPr="00962996" w:rsidTr="000E2388">
        <w:trPr>
          <w:tblHeader/>
        </w:trPr>
        <w:tc>
          <w:tcPr>
            <w:tcW w:w="8931" w:type="dxa"/>
            <w:gridSpan w:val="9"/>
            <w:tcBorders>
              <w:top w:val="nil"/>
              <w:left w:val="nil"/>
              <w:bottom w:val="single" w:sz="6" w:space="0" w:color="000000"/>
              <w:right w:val="nil"/>
            </w:tcBorders>
            <w:vAlign w:val="center"/>
            <w:hideMark/>
          </w:tcPr>
          <w:p w:rsidR="00142703" w:rsidRPr="00962996" w:rsidRDefault="00142703" w:rsidP="00962996">
            <w:pPr>
              <w:spacing w:after="0" w:line="240" w:lineRule="auto"/>
              <w:rPr>
                <w:rFonts w:ascii="Times New Roman" w:eastAsia="Times New Roman" w:hAnsi="Times New Roman" w:cs="Times New Roman"/>
                <w:b/>
                <w:bCs/>
                <w:sz w:val="24"/>
                <w:szCs w:val="24"/>
              </w:rPr>
            </w:pPr>
          </w:p>
        </w:tc>
      </w:tr>
      <w:tr w:rsidR="00752569" w:rsidRPr="00962996" w:rsidTr="000E2388">
        <w:trPr>
          <w:tblHeader/>
        </w:trPr>
        <w:tc>
          <w:tcPr>
            <w:tcW w:w="5812" w:type="dxa"/>
            <w:gridSpan w:val="6"/>
            <w:tcBorders>
              <w:top w:val="nil"/>
              <w:left w:val="nil"/>
              <w:bottom w:val="nil"/>
              <w:right w:val="nil"/>
            </w:tcBorders>
            <w:vAlign w:val="center"/>
            <w:hideMark/>
          </w:tcPr>
          <w:p w:rsidR="00142703" w:rsidRPr="00962996" w:rsidRDefault="00142703" w:rsidP="00962996">
            <w:pPr>
              <w:spacing w:after="0" w:line="240" w:lineRule="auto"/>
              <w:rPr>
                <w:rFonts w:ascii="Times New Roman" w:eastAsia="Times New Roman" w:hAnsi="Times New Roman" w:cs="Times New Roman"/>
                <w:b/>
                <w:bCs/>
                <w:sz w:val="20"/>
                <w:szCs w:val="20"/>
              </w:rPr>
            </w:pPr>
          </w:p>
        </w:tc>
        <w:tc>
          <w:tcPr>
            <w:tcW w:w="709" w:type="dxa"/>
            <w:tcBorders>
              <w:top w:val="nil"/>
              <w:left w:val="nil"/>
              <w:right w:val="nil"/>
            </w:tcBorders>
            <w:vAlign w:val="center"/>
            <w:hideMark/>
          </w:tcPr>
          <w:p w:rsidR="00142703" w:rsidRPr="00962996" w:rsidRDefault="00142703" w:rsidP="00962996">
            <w:pPr>
              <w:spacing w:after="0" w:line="240" w:lineRule="auto"/>
              <w:jc w:val="center"/>
              <w:rPr>
                <w:rFonts w:ascii="Times New Roman" w:eastAsia="Times New Roman" w:hAnsi="Times New Roman" w:cs="Times New Roman"/>
                <w:b/>
                <w:bCs/>
                <w:sz w:val="20"/>
                <w:szCs w:val="20"/>
              </w:rPr>
            </w:pPr>
          </w:p>
        </w:tc>
        <w:tc>
          <w:tcPr>
            <w:tcW w:w="2410" w:type="dxa"/>
            <w:gridSpan w:val="2"/>
            <w:tcBorders>
              <w:top w:val="nil"/>
              <w:left w:val="nil"/>
              <w:bottom w:val="single" w:sz="6" w:space="0" w:color="000000"/>
              <w:right w:val="nil"/>
            </w:tcBorders>
            <w:vAlign w:val="center"/>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95% Confidence Interval</w:t>
            </w:r>
          </w:p>
        </w:tc>
      </w:tr>
      <w:tr w:rsidR="00752569" w:rsidRPr="00962996" w:rsidTr="000E2388">
        <w:trPr>
          <w:tblHeader/>
        </w:trPr>
        <w:tc>
          <w:tcPr>
            <w:tcW w:w="851"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567"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1276"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850"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709" w:type="dxa"/>
            <w:tcBorders>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1276" w:type="dxa"/>
            <w:tcBorders>
              <w:top w:val="nil"/>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1134" w:type="dxa"/>
            <w:tcBorders>
              <w:top w:val="nil"/>
              <w:left w:val="nil"/>
              <w:bottom w:val="single" w:sz="6" w:space="0" w:color="000000"/>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752569" w:rsidRPr="00962996" w:rsidTr="000E2388">
        <w:tc>
          <w:tcPr>
            <w:tcW w:w="851" w:type="dxa"/>
            <w:tcBorders>
              <w:top w:val="nil"/>
              <w:left w:val="nil"/>
              <w:bottom w:val="nil"/>
              <w:right w:val="nil"/>
            </w:tcBorders>
            <w:vAlign w:val="center"/>
            <w:hideMark/>
          </w:tcPr>
          <w:p w:rsidR="00142703"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567"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142703" w:rsidRPr="00962996" w:rsidRDefault="00000000" w:rsidP="00962996">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Mathematics</w:t>
            </w:r>
          </w:p>
          <w:p w:rsidR="00142703"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1276"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850"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-0.873</w:t>
            </w:r>
          </w:p>
        </w:tc>
        <w:tc>
          <w:tcPr>
            <w:tcW w:w="709"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0.382</w:t>
            </w:r>
          </w:p>
        </w:tc>
        <w:tc>
          <w:tcPr>
            <w:tcW w:w="1276"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-0.006</w:t>
            </w:r>
          </w:p>
        </w:tc>
        <w:tc>
          <w:tcPr>
            <w:tcW w:w="1134" w:type="dxa"/>
            <w:tcBorders>
              <w:top w:val="nil"/>
              <w:left w:val="nil"/>
              <w:bottom w:val="nil"/>
              <w:right w:val="nil"/>
            </w:tcBorders>
            <w:vAlign w:val="center"/>
            <w:hideMark/>
          </w:tcPr>
          <w:p w:rsidR="00142703"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r>
      <w:tr w:rsidR="00752569" w:rsidRPr="00962996" w:rsidTr="000E2388">
        <w:tc>
          <w:tcPr>
            <w:tcW w:w="8931" w:type="dxa"/>
            <w:gridSpan w:val="9"/>
            <w:tcBorders>
              <w:top w:val="nil"/>
              <w:left w:val="nil"/>
              <w:bottom w:val="single" w:sz="12" w:space="0" w:color="000000"/>
              <w:right w:val="nil"/>
            </w:tcBorders>
            <w:vAlign w:val="center"/>
            <w:hideMark/>
          </w:tcPr>
          <w:p w:rsidR="00142703" w:rsidRPr="00962996" w:rsidRDefault="00142703" w:rsidP="00962996">
            <w:pPr>
              <w:spacing w:after="0" w:line="240" w:lineRule="auto"/>
              <w:rPr>
                <w:rFonts w:ascii="Times New Roman" w:eastAsia="Times New Roman" w:hAnsi="Times New Roman" w:cs="Times New Roman"/>
                <w:sz w:val="20"/>
                <w:szCs w:val="20"/>
              </w:rPr>
            </w:pPr>
          </w:p>
        </w:tc>
      </w:tr>
      <w:tr w:rsidR="00752569" w:rsidRPr="00962996" w:rsidTr="000E2388">
        <w:tc>
          <w:tcPr>
            <w:tcW w:w="8931" w:type="dxa"/>
            <w:gridSpan w:val="9"/>
            <w:tcBorders>
              <w:top w:val="nil"/>
              <w:left w:val="nil"/>
              <w:bottom w:val="nil"/>
              <w:right w:val="nil"/>
            </w:tcBorders>
            <w:vAlign w:val="center"/>
            <w:hideMark/>
          </w:tcPr>
          <w:p w:rsidR="00142703"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tc>
      </w:tr>
    </w:tbl>
    <w:p w:rsidR="00681FAA" w:rsidRPr="00962996" w:rsidRDefault="00681FAA" w:rsidP="00962996">
      <w:pPr>
        <w:spacing w:after="0" w:line="240" w:lineRule="auto"/>
        <w:jc w:val="both"/>
        <w:rPr>
          <w:rFonts w:ascii="Times New Roman" w:hAnsi="Times New Roman" w:cs="Times New Roman"/>
          <w:sz w:val="24"/>
          <w:szCs w:val="24"/>
          <w:lang w:val="en-US"/>
        </w:rPr>
      </w:pPr>
    </w:p>
    <w:p w:rsidR="00DD3B5D"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Meanwhile, the results that examined the indirect influence between the math anxiety variable and the math performance variable with the math self-efficacy variable as a mediator in Table 7, showed z-value = -2.006 and p = 0.045 (p &lt; 0.05). These results indicate that there is a significant indirect influence between math anxiety and math performance when the math self-efficacy variable is included as a mediator variable.</w:t>
      </w:r>
    </w:p>
    <w:p w:rsidR="004F072A" w:rsidRPr="00962996" w:rsidRDefault="004F072A" w:rsidP="00962996">
      <w:pPr>
        <w:spacing w:after="0" w:line="240" w:lineRule="auto"/>
        <w:jc w:val="both"/>
        <w:rPr>
          <w:rFonts w:ascii="Times New Roman" w:hAnsi="Times New Roman" w:cs="Times New Roman"/>
          <w:sz w:val="24"/>
          <w:szCs w:val="24"/>
          <w:lang w:val="en-US"/>
        </w:rPr>
      </w:pPr>
    </w:p>
    <w:p w:rsidR="004F072A"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Tabl</w:t>
      </w:r>
      <w:r w:rsidR="00FD102A" w:rsidRPr="00962996">
        <w:rPr>
          <w:rFonts w:ascii="Times New Roman" w:hAnsi="Times New Roman" w:cs="Times New Roman"/>
          <w:b/>
          <w:bCs/>
          <w:sz w:val="24"/>
          <w:szCs w:val="24"/>
          <w:lang w:val="en-US"/>
        </w:rPr>
        <w:t>e</w:t>
      </w:r>
      <w:r w:rsidRPr="00962996">
        <w:rPr>
          <w:rFonts w:ascii="Times New Roman" w:hAnsi="Times New Roman" w:cs="Times New Roman"/>
          <w:b/>
          <w:bCs/>
          <w:sz w:val="24"/>
          <w:szCs w:val="24"/>
          <w:lang w:val="en-US"/>
        </w:rPr>
        <w:t xml:space="preserve"> 7</w:t>
      </w:r>
    </w:p>
    <w:p w:rsidR="004F072A"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Indirect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709"/>
        <w:gridCol w:w="425"/>
        <w:gridCol w:w="988"/>
        <w:gridCol w:w="288"/>
        <w:gridCol w:w="1276"/>
        <w:gridCol w:w="992"/>
        <w:gridCol w:w="851"/>
        <w:gridCol w:w="850"/>
        <w:gridCol w:w="567"/>
        <w:gridCol w:w="992"/>
        <w:gridCol w:w="993"/>
      </w:tblGrid>
      <w:tr w:rsidR="00752569" w:rsidRPr="00962996" w:rsidTr="00917181">
        <w:trPr>
          <w:trHeight w:val="227"/>
          <w:tblHeader/>
        </w:trPr>
        <w:tc>
          <w:tcPr>
            <w:tcW w:w="8931" w:type="dxa"/>
            <w:gridSpan w:val="11"/>
            <w:tcBorders>
              <w:top w:val="nil"/>
              <w:left w:val="nil"/>
              <w:bottom w:val="single" w:sz="6" w:space="0" w:color="000000"/>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b/>
                <w:bCs/>
                <w:sz w:val="20"/>
                <w:szCs w:val="20"/>
              </w:rPr>
            </w:pPr>
          </w:p>
        </w:tc>
      </w:tr>
      <w:tr w:rsidR="00752569" w:rsidRPr="00962996" w:rsidTr="00917181">
        <w:trPr>
          <w:trHeight w:val="227"/>
          <w:tblHeader/>
        </w:trPr>
        <w:tc>
          <w:tcPr>
            <w:tcW w:w="6946" w:type="dxa"/>
            <w:gridSpan w:val="9"/>
            <w:tcBorders>
              <w:top w:val="nil"/>
              <w:left w:val="nil"/>
              <w:bottom w:val="nil"/>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b/>
                <w:bCs/>
                <w:sz w:val="20"/>
                <w:szCs w:val="20"/>
              </w:rPr>
            </w:pPr>
          </w:p>
        </w:tc>
        <w:tc>
          <w:tcPr>
            <w:tcW w:w="1985" w:type="dxa"/>
            <w:gridSpan w:val="2"/>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95% Confidence Interval </w:t>
            </w:r>
          </w:p>
        </w:tc>
      </w:tr>
      <w:tr w:rsidR="00752569" w:rsidRPr="00962996" w:rsidTr="001067AC">
        <w:trPr>
          <w:trHeight w:val="227"/>
          <w:tblHeader/>
        </w:trPr>
        <w:tc>
          <w:tcPr>
            <w:tcW w:w="709"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701" w:type="dxa"/>
            <w:gridSpan w:val="3"/>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851"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850"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567"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992"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993"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752569" w:rsidRPr="00962996" w:rsidTr="001067AC">
        <w:trPr>
          <w:trHeight w:val="682"/>
        </w:trPr>
        <w:tc>
          <w:tcPr>
            <w:tcW w:w="709" w:type="dxa"/>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425"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988" w:type="dxa"/>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Self-Efficacy </w:t>
            </w:r>
          </w:p>
        </w:tc>
        <w:tc>
          <w:tcPr>
            <w:tcW w:w="288"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Mathematics 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851"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9.625e -4</w:t>
            </w:r>
          </w:p>
        </w:tc>
        <w:tc>
          <w:tcPr>
            <w:tcW w:w="850"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-2.006</w:t>
            </w:r>
          </w:p>
        </w:tc>
        <w:tc>
          <w:tcPr>
            <w:tcW w:w="567"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0.045</w:t>
            </w:r>
          </w:p>
        </w:tc>
        <w:tc>
          <w:tcPr>
            <w:tcW w:w="992"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-0.004</w:t>
            </w:r>
          </w:p>
        </w:tc>
        <w:tc>
          <w:tcPr>
            <w:tcW w:w="993"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-4.443e -5</w:t>
            </w:r>
          </w:p>
        </w:tc>
      </w:tr>
      <w:tr w:rsidR="00752569" w:rsidRPr="00962996" w:rsidTr="00917181">
        <w:trPr>
          <w:trHeight w:val="13"/>
        </w:trPr>
        <w:tc>
          <w:tcPr>
            <w:tcW w:w="8931" w:type="dxa"/>
            <w:gridSpan w:val="11"/>
            <w:tcBorders>
              <w:top w:val="nil"/>
              <w:left w:val="nil"/>
              <w:bottom w:val="single" w:sz="12" w:space="0" w:color="000000"/>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sz w:val="20"/>
                <w:szCs w:val="20"/>
              </w:rPr>
            </w:pPr>
          </w:p>
        </w:tc>
      </w:tr>
      <w:tr w:rsidR="00752569" w:rsidRPr="00962996" w:rsidTr="00917181">
        <w:trPr>
          <w:trHeight w:val="227"/>
        </w:trPr>
        <w:tc>
          <w:tcPr>
            <w:tcW w:w="8931" w:type="dxa"/>
            <w:gridSpan w:val="11"/>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tc>
      </w:tr>
    </w:tbl>
    <w:p w:rsidR="004F072A" w:rsidRPr="00962996" w:rsidRDefault="004F072A" w:rsidP="00962996">
      <w:pPr>
        <w:spacing w:after="0" w:line="240" w:lineRule="auto"/>
        <w:jc w:val="both"/>
        <w:rPr>
          <w:rFonts w:ascii="Times New Roman" w:hAnsi="Times New Roman" w:cs="Times New Roman"/>
          <w:sz w:val="24"/>
          <w:szCs w:val="24"/>
          <w:lang w:val="en-US"/>
        </w:rPr>
      </w:pPr>
    </w:p>
    <w:p w:rsidR="0062310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While in the results of the total influence that can be seen in Table 8, the value of z-value = -1965 and p = 0.049 (p &lt; 0.05). These results indicate that there is a mediating role for math self-efficacy variables in the relationship between math anxiety and math performance.</w:t>
      </w:r>
    </w:p>
    <w:p w:rsidR="00142703" w:rsidRPr="00962996" w:rsidRDefault="00142703" w:rsidP="00962996">
      <w:pPr>
        <w:spacing w:after="0" w:line="240" w:lineRule="auto"/>
        <w:jc w:val="both"/>
        <w:rPr>
          <w:rFonts w:ascii="Times New Roman" w:hAnsi="Times New Roman" w:cs="Times New Roman"/>
          <w:sz w:val="24"/>
          <w:szCs w:val="24"/>
          <w:lang w:val="en-US"/>
        </w:rPr>
      </w:pPr>
    </w:p>
    <w:p w:rsidR="00917181"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Tabl</w:t>
      </w:r>
      <w:r w:rsidR="00FD102A" w:rsidRPr="00962996">
        <w:rPr>
          <w:rFonts w:ascii="Times New Roman" w:hAnsi="Times New Roman" w:cs="Times New Roman"/>
          <w:b/>
          <w:bCs/>
          <w:sz w:val="24"/>
          <w:szCs w:val="24"/>
          <w:lang w:val="en-US"/>
        </w:rPr>
        <w:t>e</w:t>
      </w:r>
      <w:r w:rsidRPr="00962996">
        <w:rPr>
          <w:rFonts w:ascii="Times New Roman" w:hAnsi="Times New Roman" w:cs="Times New Roman"/>
          <w:b/>
          <w:bCs/>
          <w:sz w:val="24"/>
          <w:szCs w:val="24"/>
          <w:lang w:val="en-US"/>
        </w:rPr>
        <w:t xml:space="preserve"> 8 </w:t>
      </w:r>
    </w:p>
    <w:p w:rsidR="004F072A"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Total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851"/>
        <w:gridCol w:w="425"/>
        <w:gridCol w:w="1276"/>
        <w:gridCol w:w="992"/>
        <w:gridCol w:w="1134"/>
        <w:gridCol w:w="1134"/>
        <w:gridCol w:w="709"/>
        <w:gridCol w:w="1276"/>
        <w:gridCol w:w="1134"/>
      </w:tblGrid>
      <w:tr w:rsidR="00752569" w:rsidRPr="00962996" w:rsidTr="00917181">
        <w:trPr>
          <w:tblHeader/>
        </w:trPr>
        <w:tc>
          <w:tcPr>
            <w:tcW w:w="8931" w:type="dxa"/>
            <w:gridSpan w:val="9"/>
            <w:tcBorders>
              <w:top w:val="nil"/>
              <w:left w:val="nil"/>
              <w:bottom w:val="single" w:sz="6" w:space="0" w:color="000000"/>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b/>
                <w:bCs/>
                <w:sz w:val="20"/>
                <w:szCs w:val="20"/>
              </w:rPr>
            </w:pPr>
          </w:p>
        </w:tc>
      </w:tr>
      <w:tr w:rsidR="00752569" w:rsidRPr="00962996" w:rsidTr="00917181">
        <w:trPr>
          <w:tblHeader/>
        </w:trPr>
        <w:tc>
          <w:tcPr>
            <w:tcW w:w="6521" w:type="dxa"/>
            <w:gridSpan w:val="7"/>
            <w:tcBorders>
              <w:top w:val="nil"/>
              <w:left w:val="nil"/>
              <w:bottom w:val="nil"/>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b/>
                <w:bCs/>
                <w:sz w:val="20"/>
                <w:szCs w:val="20"/>
              </w:rPr>
            </w:pPr>
          </w:p>
        </w:tc>
        <w:tc>
          <w:tcPr>
            <w:tcW w:w="2410" w:type="dxa"/>
            <w:gridSpan w:val="2"/>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95% Confidence Interval </w:t>
            </w:r>
          </w:p>
        </w:tc>
      </w:tr>
      <w:tr w:rsidR="00752569" w:rsidRPr="00962996" w:rsidTr="00917181">
        <w:trPr>
          <w:tblHeader/>
        </w:trPr>
        <w:tc>
          <w:tcPr>
            <w:tcW w:w="851"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425"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1134"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1134"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709"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1276"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1134" w:type="dxa"/>
            <w:tcBorders>
              <w:top w:val="nil"/>
              <w:left w:val="nil"/>
              <w:bottom w:val="single" w:sz="6" w:space="0" w:color="000000"/>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752569" w:rsidRPr="00962996" w:rsidTr="00917181">
        <w:tc>
          <w:tcPr>
            <w:tcW w:w="851" w:type="dxa"/>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425"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Mathematics 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-0.004</w:t>
            </w:r>
          </w:p>
        </w:tc>
        <w:tc>
          <w:tcPr>
            <w:tcW w:w="1134"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1134"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-1.965</w:t>
            </w:r>
          </w:p>
        </w:tc>
        <w:tc>
          <w:tcPr>
            <w:tcW w:w="709"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0.049</w:t>
            </w:r>
          </w:p>
        </w:tc>
        <w:tc>
          <w:tcPr>
            <w:tcW w:w="1276"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-0.008</w:t>
            </w:r>
          </w:p>
        </w:tc>
        <w:tc>
          <w:tcPr>
            <w:tcW w:w="1134" w:type="dxa"/>
            <w:tcBorders>
              <w:top w:val="nil"/>
              <w:left w:val="nil"/>
              <w:bottom w:val="nil"/>
              <w:right w:val="nil"/>
            </w:tcBorders>
            <w:vAlign w:val="center"/>
            <w:hideMark/>
          </w:tcPr>
          <w:p w:rsidR="00917181" w:rsidRPr="00962996" w:rsidRDefault="00000000" w:rsidP="00962996">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-9.610e -6</w:t>
            </w:r>
          </w:p>
        </w:tc>
      </w:tr>
      <w:tr w:rsidR="00752569" w:rsidRPr="00962996" w:rsidTr="00917181">
        <w:tc>
          <w:tcPr>
            <w:tcW w:w="8931" w:type="dxa"/>
            <w:gridSpan w:val="9"/>
            <w:tcBorders>
              <w:top w:val="nil"/>
              <w:left w:val="nil"/>
              <w:bottom w:val="single" w:sz="12" w:space="0" w:color="000000"/>
              <w:right w:val="nil"/>
            </w:tcBorders>
            <w:vAlign w:val="center"/>
            <w:hideMark/>
          </w:tcPr>
          <w:p w:rsidR="00917181" w:rsidRPr="00962996" w:rsidRDefault="00917181" w:rsidP="00962996">
            <w:pPr>
              <w:spacing w:after="0" w:line="240" w:lineRule="auto"/>
              <w:rPr>
                <w:rFonts w:ascii="Times New Roman" w:eastAsia="Times New Roman" w:hAnsi="Times New Roman" w:cs="Times New Roman"/>
                <w:sz w:val="20"/>
                <w:szCs w:val="20"/>
              </w:rPr>
            </w:pPr>
          </w:p>
        </w:tc>
      </w:tr>
      <w:tr w:rsidR="00752569" w:rsidRPr="00962996" w:rsidTr="00917181">
        <w:tc>
          <w:tcPr>
            <w:tcW w:w="8931" w:type="dxa"/>
            <w:gridSpan w:val="9"/>
            <w:tcBorders>
              <w:top w:val="nil"/>
              <w:left w:val="nil"/>
              <w:bottom w:val="nil"/>
              <w:right w:val="nil"/>
            </w:tcBorders>
            <w:vAlign w:val="center"/>
            <w:hideMark/>
          </w:tcPr>
          <w:p w:rsidR="00917181" w:rsidRPr="00962996" w:rsidRDefault="00000000" w:rsidP="00962996">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tc>
      </w:tr>
    </w:tbl>
    <w:p w:rsidR="00917181" w:rsidRPr="00962996" w:rsidRDefault="00917181" w:rsidP="00962996">
      <w:pPr>
        <w:spacing w:after="0" w:line="240" w:lineRule="auto"/>
        <w:jc w:val="both"/>
        <w:rPr>
          <w:rFonts w:ascii="Times New Roman" w:hAnsi="Times New Roman" w:cs="Times New Roman"/>
          <w:sz w:val="24"/>
          <w:szCs w:val="24"/>
          <w:lang w:val="en-US"/>
        </w:rPr>
      </w:pPr>
    </w:p>
    <w:p w:rsidR="007C120A"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Similarly, the results revealed that there was a negative influence between math anxiety and math self-efficacy (β = -0.01), and math self-efficacy also had a positive effect on math achievement (β = 0.15). However, there was no effect between math anxiety and math achievement (β = 0) which can be seen in Figure 3. These results indicate that math self-efficacy fully mediates the effect between math anxiety and math performance.</w:t>
      </w:r>
    </w:p>
    <w:p w:rsidR="00AC5A07" w:rsidRPr="00962996" w:rsidRDefault="00AC5A07" w:rsidP="00962996">
      <w:pPr>
        <w:spacing w:after="0" w:line="240" w:lineRule="auto"/>
        <w:jc w:val="both"/>
        <w:rPr>
          <w:rFonts w:ascii="Times New Roman" w:hAnsi="Times New Roman" w:cs="Times New Roman"/>
          <w:b/>
          <w:bCs/>
          <w:sz w:val="24"/>
          <w:szCs w:val="24"/>
          <w:lang w:val="en-US"/>
        </w:rPr>
      </w:pPr>
    </w:p>
    <w:p w:rsidR="007C120A"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lastRenderedPageBreak/>
        <w:t xml:space="preserve">Figure 3 </w:t>
      </w:r>
    </w:p>
    <w:p w:rsidR="007C120A"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Model Plot</w:t>
      </w:r>
    </w:p>
    <w:p w:rsidR="007C120A" w:rsidRPr="00962996" w:rsidRDefault="00000000" w:rsidP="00962996">
      <w:pPr>
        <w:autoSpaceDE w:val="0"/>
        <w:autoSpaceDN w:val="0"/>
        <w:adjustRightInd w:val="0"/>
        <w:spacing w:after="0" w:line="240" w:lineRule="auto"/>
        <w:jc w:val="center"/>
        <w:rPr>
          <w:rFonts w:ascii="Times New Roman" w:hAnsi="Times New Roman" w:cs="Times New Roman"/>
          <w:sz w:val="24"/>
          <w:lang w:val="en-US"/>
        </w:rPr>
      </w:pPr>
      <w:r w:rsidRPr="00962996">
        <w:rPr>
          <w:rFonts w:ascii="Times New Roman" w:hAnsi="Times New Roman" w:cs="Times New Roman"/>
          <w:noProof/>
          <w:sz w:val="24"/>
          <w:lang w:val="en-US"/>
        </w:rPr>
        <w:drawing>
          <wp:inline distT="0" distB="0" distL="0" distR="0">
            <wp:extent cx="2583317" cy="225742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12915" cy="2283289"/>
                    </a:xfrm>
                    <a:prstGeom prst="rect">
                      <a:avLst/>
                    </a:prstGeom>
                    <a:noFill/>
                  </pic:spPr>
                </pic:pic>
              </a:graphicData>
            </a:graphic>
          </wp:inline>
        </w:drawing>
      </w:r>
    </w:p>
    <w:p w:rsidR="00182D85" w:rsidRPr="00962996" w:rsidRDefault="00000000" w:rsidP="00962996">
      <w:pPr>
        <w:spacing w:after="0"/>
        <w:jc w:val="both"/>
        <w:rPr>
          <w:rFonts w:ascii="Times New Roman" w:hAnsi="Times New Roman" w:cs="Times New Roman"/>
          <w:sz w:val="20"/>
          <w:szCs w:val="20"/>
          <w:lang w:val="en-US"/>
        </w:rPr>
      </w:pPr>
      <w:r w:rsidRPr="00962996">
        <w:rPr>
          <w:rFonts w:ascii="Times New Roman" w:hAnsi="Times New Roman" w:cs="Times New Roman"/>
          <w:i/>
          <w:iCs/>
          <w:sz w:val="20"/>
          <w:szCs w:val="20"/>
          <w:lang w:val="en-US"/>
        </w:rPr>
        <w:t>Description.</w:t>
      </w:r>
      <w:r w:rsidRPr="00962996">
        <w:rPr>
          <w:rFonts w:ascii="Times New Roman" w:hAnsi="Times New Roman" w:cs="Times New Roman"/>
          <w:sz w:val="20"/>
          <w:szCs w:val="20"/>
        </w:rPr>
        <w:t xml:space="preserve"> MA = Math Anxiety; MSE = Math Self-Efficacy; PM = </w:t>
      </w:r>
      <w:r w:rsidRPr="00962996">
        <w:rPr>
          <w:rFonts w:ascii="Times New Roman" w:hAnsi="Times New Roman" w:cs="Times New Roman"/>
          <w:sz w:val="20"/>
          <w:szCs w:val="20"/>
          <w:lang w:val="en-US"/>
        </w:rPr>
        <w:t>Mathematics Performance</w:t>
      </w:r>
    </w:p>
    <w:p w:rsidR="004F072A" w:rsidRPr="00962996" w:rsidRDefault="004F072A" w:rsidP="00962996">
      <w:pPr>
        <w:spacing w:after="0" w:line="240" w:lineRule="auto"/>
        <w:jc w:val="both"/>
        <w:rPr>
          <w:rFonts w:ascii="Times New Roman" w:hAnsi="Times New Roman" w:cs="Times New Roman"/>
          <w:sz w:val="24"/>
          <w:szCs w:val="24"/>
          <w:lang w:val="en-US"/>
        </w:rPr>
      </w:pPr>
    </w:p>
    <w:p w:rsidR="00DC30F6"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 xml:space="preserve">Discussion </w:t>
      </w:r>
    </w:p>
    <w:p w:rsidR="008A1D2B"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The effect between math anxiety and mathematics performance</w:t>
      </w:r>
    </w:p>
    <w:p w:rsidR="0067005C"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The present study contributes to the previous literature by validating a theoretical model of the effect between math anxiety and students' mathematics performance. </w:t>
      </w:r>
      <w:r w:rsidRPr="00962996">
        <w:rPr>
          <w:rFonts w:ascii="Times New Roman" w:hAnsi="Times New Roman" w:cs="Times New Roman"/>
          <w:sz w:val="24"/>
          <w:szCs w:val="24"/>
        </w:rPr>
        <w:t>This study found that there was no direct relationship or influence between math anxiety and students' mathematical performance.</w:t>
      </w:r>
      <w:r w:rsidR="00B12B7A"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 xml:space="preserve">The result is contrary to the prior studies which stated that there is a relationship between math anxiety and math performance </w:t>
      </w:r>
      <w:r w:rsidR="00C96042" w:rsidRPr="00962996">
        <w:rPr>
          <w:rFonts w:ascii="Times New Roman" w:hAnsi="Times New Roman" w:cs="Times New Roman"/>
          <w:sz w:val="24"/>
          <w:szCs w:val="24"/>
          <w:lang w:val="en-US"/>
        </w:rPr>
        <w:fldChar w:fldCharType="begin" w:fldLock="1"/>
      </w:r>
      <w:r w:rsidR="00C96042" w:rsidRPr="00962996">
        <w:rPr>
          <w:rFonts w:ascii="Times New Roman" w:hAnsi="Times New Roman" w:cs="Times New Roman"/>
          <w:sz w:val="24"/>
          <w:szCs w:val="24"/>
          <w:lang w:val="en-US"/>
        </w:rPr>
        <w:instrText>ADDIN CSL_CITATION {"citationItems":[{"id":"ITEM-1","itemData":{"ISSN":"2579-9258","abstract":"Penelitian ini bertujuan untuk memberi tahu sejauh mana kecemasan matematika itu berdampak pada hasil belajar siswa SMP Negeri 2 Rawamerta selama masa pandemi Covid-19. Penelitian ini menggunakan jenis ex post facto. Penelitian ini juga dilatarbelakangi oleh rendahnya prestasi atau hasil belajar siswa. Target atau sasaran dari penelitian ini yaitu siswa kelas VIII SMP Negeri 2 Rawamerta tahun ajaran 2020/2021. Kategori sampel menggunakan teknik simple random sampling. Instrumen yang digunakan berupa angket dan file tes hasil belajar. Hal yang didapat dari hasil penelitian yaitu bahwa kecemasan matematika berpengaruh signifikan terhadap hasil belajar siswa, dapat ditunjukkan melalui nilai signifikansi analisis regresi linier sebesar 0,015 yang lebih kecil dari 0,05.","author":[{"dropping-particle":"","family":"Berliana","given":"Citra","non-dropping-particle":"","parse-names":false,"suffix":""},{"dropping-particle":"","family":"Adirakasiwi","given":"Alpha Galih","non-dropping-particle":"","parse-names":false,"suffix":""}],"container-title":"Jurnal Cendekia: Jurnal Pendidikan Matematika","id":"ITEM-1","issue":"3","issued":{"date-parts":[["2021"]]},"page":"2628-2635","title":"Pengaruh mathematics anxiety terhadap hasil belajar matematika siswa smp di masa pandemi covid-19","type":"article-journal","volume":"5"},"uris":["http://www.mendeley.com/documents/?uuid=e533363f-004b-447e-af29-6d5e77601cd8"]},{"id":"ITEM-2","itemData":{"DOI":"10.1016/j.actpsy.2021.103413","ISSN":"18736297","PMID":"34537471","abstract":"Some academic subjects, such as math, produce negative feelings, influencing achievement. Math anxiety interferes with processing math-related or number-related information and tasks in ordinary life and academic situations. It differs from general academic anxiety that involves all the academic situations, independently by the specificity of the study subject. Further, it is possible to identify two correlated dimensions of math anxiety which may considerably interfere with math performance: anxiety related to learning mathematics and that experienced during tests. This study investigated the relationship between general academic anxiety, math anxiety, and calculation skill in schoolchildren (N = 204). Results showed that math anxiety was negatively associated with calculation performance in schoolchildren. More specifically, anxiety for math tests correlated negatively with numerical knowledge, calculation accuracy, and calculation speed, while anxiety for learning math correlated negatively with written calculation scores. These findings have a great educational interest. Indeed, calculation skills are central in school and daily life so teachers should recognize math anxiety precociously and promote educational interventions to control it.","author":[{"dropping-particle":"","family":"Commodari","given":"Elena","non-dropping-particle":"","parse-names":false,"suffix":""},{"dropping-particle":"","family":"Rosa","given":"Valentina Lucia","non-dropping-particle":"La","parse-names":false,"suffix":""}],"container-title":"Acta Psychologica","id":"ITEM-2","issue":"103413","issued":{"date-parts":[["2021"]]},"page":"1-7","publisher":"Elsevier B.V.","title":"General academic anxiety and math anxiety in primary school. The impact of math anxiety on calculation skills","type":"article-journal","volume":"220"},"uris":["http://www.mendeley.com/documents/?uuid=8836b5b7-a74f-43f1-ad4d-24d58e6df11a"]},{"id":"ITEM-3","itemData":{"DOI":"10.3389/fpsyg.2021.798090","ISSN":"16641078","abstract":"It is well established that math anxiety has a negative relationship with math performance (MP). A few theories have provided explanations for this relationship. One of them, the Attentional Control Theory (ACT), suggests that anxiety can negatively impact the attentional control system and increase one's attention to threat-related stimuli. Within the ACT framework, the math anxiety (MA)—working memory (WM) relationship is argued to be critical for math performance. The present meta-analyses provides insights into the mechanisms of the MA—MP relation and the mediating role of WM. Through database searches with pre-determined search strings, 1,346 unique articles were identified. After excluding non-relevant studies, data from 57 studies and 150 effect sizes were used for investigating the MA—MP correlation using a random-effects model. This resulted in a mean correlation of r = −0.168. The database search of WM as a mediator for the MA—MP relation revealed 15 effects sizes leading to a descriptive rather than a generalizable statistic, with a mean indirect effect size of −0.092. Overall, the results confirm the ACT theory, WM does play a significant role in the MA—MP relationship.","author":[{"dropping-particle":"","family":"Finell","given":"Jonatan","non-dropping-particle":"","parse-names":false,"suffix":""},{"dropping-particle":"","family":"Sammallahti","given":"Ellen","non-dropping-particle":"","parse-names":false,"suffix":""},{"dropping-particle":"","family":"Korhonen","given":"Johan","non-dropping-particle":"","parse-names":false,"suffix":""},{"dropping-particle":"","family":"Eklöf","given":"Hanna","non-dropping-particle":"","parse-names":false,"suffix":""},{"dropping-particle":"","family":"Jonsson","given":"Bert","non-dropping-particle":"","parse-names":false,"suffix":""}],"container-title":"Frontiers in Psychology","id":"ITEM-3","issue":"798090","issued":{"date-parts":[["2022"]]},"page":"1-14","title":"Working memory and its mediating role on the relationship of math anxiety and math performance: a meta-analysis","type":"article-journal","volume":"12"},"uris":["http://www.mendeley.com/documents/?uuid=5fba6141-a8cc-4945-b98e-c6b8b2c50c82"]},{"id":"ITEM-4","itemData":{"DOI":"10.3389/fpsyg.2019.01613","ISSN":"16641078","abstract":"Math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Psychology","id":"ITEM-4","issue":"1613","issued":{"date-parts":[["2019"]]},"page":"1-17","title":"The relationship between math anxiety and math performance: A meta-analytic investigation","type":"article-journal","volume":"10"},"uris":["http://www.mendeley.com/documents/?uuid=d6cfa51b-062a-46af-b469-3c15599d8403"]}],"mendeley":{"formattedCitation":"(Berliana &amp; Adirakasiwi, 2021; Commodari &amp; La Rosa, 2021; Finell et al., 2022; J. Zhang et al., 2019)","plainTextFormattedCitation":"(Berliana &amp; Adirakasiwi, 2021; Commodari &amp; La Rosa, 2021; Finell et al., 2022; J. Zhang et al., 2019)","previouslyFormattedCitation":"(Berliana &amp; Adirakasiwi, 2021; Commodari &amp; La Rosa, 2021; Finell et al., 2022; J. Zhang et al., 2019)"},"properties":{"noteIndex":0},"schema":"https://github.com/citation-style-language/schema/raw/master/csl-citation.json"}</w:instrText>
      </w:r>
      <w:r w:rsidR="00C96042" w:rsidRPr="00962996">
        <w:rPr>
          <w:rFonts w:ascii="Times New Roman" w:hAnsi="Times New Roman" w:cs="Times New Roman"/>
          <w:sz w:val="24"/>
          <w:szCs w:val="24"/>
          <w:lang w:val="en-US"/>
        </w:rPr>
        <w:fldChar w:fldCharType="separate"/>
      </w:r>
      <w:r w:rsidR="00C96042" w:rsidRPr="00962996">
        <w:rPr>
          <w:rFonts w:ascii="Times New Roman" w:hAnsi="Times New Roman" w:cs="Times New Roman"/>
          <w:noProof/>
          <w:sz w:val="24"/>
          <w:szCs w:val="24"/>
          <w:lang w:val="en-US"/>
        </w:rPr>
        <w:t>(Berliana &amp; Adirakasiwi, 2021; Commodari &amp; La Rosa, 2021; Finell et al., 2022; J. Zhang et al., 2019)</w:t>
      </w:r>
      <w:r w:rsidR="00C96042" w:rsidRPr="00962996">
        <w:rPr>
          <w:rFonts w:ascii="Times New Roman" w:hAnsi="Times New Roman" w:cs="Times New Roman"/>
          <w:sz w:val="24"/>
          <w:szCs w:val="24"/>
          <w:lang w:val="en-US"/>
        </w:rPr>
        <w:fldChar w:fldCharType="end"/>
      </w:r>
      <w:r w:rsidR="00A51E3F"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 xml:space="preserve">In other words, high or low math anxiety in students does not affect their math performance. </w:t>
      </w:r>
      <w:r w:rsidR="00A26C2F" w:rsidRPr="00962996">
        <w:rPr>
          <w:rFonts w:ascii="Times New Roman" w:hAnsi="Times New Roman" w:cs="Times New Roman"/>
          <w:sz w:val="24"/>
          <w:szCs w:val="24"/>
          <w:lang w:val="en-US"/>
        </w:rPr>
        <w:t>This result also refutes the results of previous meta-analysis on the relationship between math anxiety and math performance which states that the negative effect between math anxiety and math performance increases in the middle school period.</w:t>
      </w:r>
      <w:r w:rsidRPr="00962996">
        <w:rPr>
          <w:rFonts w:ascii="Times New Roman" w:hAnsi="Times New Roman" w:cs="Times New Roman"/>
          <w:sz w:val="24"/>
          <w:szCs w:val="24"/>
          <w:lang w:val="en-US"/>
        </w:rPr>
        <w:t xml:space="preserve"> </w:t>
      </w:r>
      <w:r w:rsidR="00C96042" w:rsidRPr="00962996">
        <w:rPr>
          <w:rFonts w:ascii="Times New Roman" w:hAnsi="Times New Roman" w:cs="Times New Roman"/>
          <w:sz w:val="24"/>
          <w:szCs w:val="24"/>
          <w:lang w:val="en-US"/>
        </w:rPr>
        <w:fldChar w:fldCharType="begin" w:fldLock="1"/>
      </w:r>
      <w:r w:rsidR="00C96042" w:rsidRPr="00962996">
        <w:rPr>
          <w:rFonts w:ascii="Times New Roman" w:hAnsi="Times New Roman" w:cs="Times New Roman"/>
          <w:sz w:val="24"/>
          <w:szCs w:val="24"/>
          <w:lang w:val="en-US"/>
        </w:rPr>
        <w:instrText>ADDIN CSL_CITATION {"citationItems":[{"id":"ITEM-1","itemData":{"DOI":"10.3389/fpsyg.2019.01613","ISSN":"16641078","abstract":"Math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Psychology","id":"ITEM-1","issue":"1613","issued":{"date-parts":[["2019"]]},"page":"1-17","title":"The relationship between math anxiety and math performance: A meta-analytic investigation","type":"article-journal","volume":"10"},"uris":["http://www.mendeley.com/documents/?uuid=d6cfa51b-062a-46af-b469-3c15599d8403"]}],"mendeley":{"formattedCitation":"(J. Zhang et al., 2019)","plainTextFormattedCitation":"(J. Zhang et al., 2019)","previouslyFormattedCitation":"(J. Zhang et al., 2019)"},"properties":{"noteIndex":0},"schema":"https://github.com/citation-style-language/schema/raw/master/csl-citation.json"}</w:instrText>
      </w:r>
      <w:r w:rsidR="00C96042" w:rsidRPr="00962996">
        <w:rPr>
          <w:rFonts w:ascii="Times New Roman" w:hAnsi="Times New Roman" w:cs="Times New Roman"/>
          <w:sz w:val="24"/>
          <w:szCs w:val="24"/>
          <w:lang w:val="en-US"/>
        </w:rPr>
        <w:fldChar w:fldCharType="separate"/>
      </w:r>
      <w:r w:rsidR="00C96042" w:rsidRPr="00962996">
        <w:rPr>
          <w:rFonts w:ascii="Times New Roman" w:hAnsi="Times New Roman" w:cs="Times New Roman"/>
          <w:noProof/>
          <w:sz w:val="24"/>
          <w:szCs w:val="24"/>
          <w:lang w:val="en-US"/>
        </w:rPr>
        <w:t>(J. Zhang et al., 2019)</w:t>
      </w:r>
      <w:r w:rsidR="00C96042"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p>
    <w:p w:rsidR="0067005C"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The lack of relationship between math anxiety and math performance may be due to the fact that students who have entered adolescence are more focused on social issues, such as exploring various roles to build an identity or finding their identity to fit the perspective of their peers. Thus, anxiety at this time is more focused on social relationship issues than on issues related to academic performance </w:t>
      </w:r>
      <w:r w:rsidR="00C96042" w:rsidRPr="00962996">
        <w:rPr>
          <w:rFonts w:ascii="Times New Roman" w:hAnsi="Times New Roman" w:cs="Times New Roman"/>
          <w:sz w:val="24"/>
          <w:szCs w:val="24"/>
          <w:lang w:val="en-US"/>
        </w:rPr>
        <w:fldChar w:fldCharType="begin" w:fldLock="1"/>
      </w:r>
      <w:r w:rsidR="00C96042" w:rsidRPr="00962996">
        <w:rPr>
          <w:rFonts w:ascii="Times New Roman" w:hAnsi="Times New Roman" w:cs="Times New Roman"/>
          <w:sz w:val="24"/>
          <w:szCs w:val="24"/>
          <w:lang w:val="en-US"/>
        </w:rPr>
        <w:instrText>ADDIN CSL_CITATION {"citationItems":[{"id":"ITEM-1","itemData":{"DOI":"10.31289/analitika.v11i2.2878","abstract":"International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(ANALITIKA)","id":"ITEM-1","issue":"2","issued":{"date-parts":[["2019"]]},"page":"126-136","title":"Pengaruh math self-efficacy dan math anxiety terhadap performansi matematika pada siswa kelas v sd","type":"article-journal","volume":"11"},"uris":["http://www.mendeley.com/documents/?uuid=c2a01fc6-bed7-4395-ac40-38f8535ef0f4"]}],"mendeley":{"formattedCitation":"(Chandra &amp; Royanto, 2019)","plainTextFormattedCitation":"(Chandra &amp; Royanto, 2019)","previouslyFormattedCitation":"(Chandra &amp; Royanto, 2019)"},"properties":{"noteIndex":0},"schema":"https://github.com/citation-style-language/schema/raw/master/csl-citation.json"}</w:instrText>
      </w:r>
      <w:r w:rsidR="00C96042" w:rsidRPr="00962996">
        <w:rPr>
          <w:rFonts w:ascii="Times New Roman" w:hAnsi="Times New Roman" w:cs="Times New Roman"/>
          <w:sz w:val="24"/>
          <w:szCs w:val="24"/>
          <w:lang w:val="en-US"/>
        </w:rPr>
        <w:fldChar w:fldCharType="separate"/>
      </w:r>
      <w:r w:rsidR="00C96042" w:rsidRPr="00962996">
        <w:rPr>
          <w:rFonts w:ascii="Times New Roman" w:hAnsi="Times New Roman" w:cs="Times New Roman"/>
          <w:noProof/>
          <w:sz w:val="24"/>
          <w:szCs w:val="24"/>
          <w:lang w:val="en-US"/>
        </w:rPr>
        <w:t>(Chandra &amp; Royanto, 2019)</w:t>
      </w:r>
      <w:r w:rsidR="00C96042"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p>
    <w:p w:rsidR="008A1D2B" w:rsidRPr="00962996" w:rsidRDefault="008A1D2B" w:rsidP="00962996">
      <w:pPr>
        <w:spacing w:after="0" w:line="240" w:lineRule="auto"/>
        <w:jc w:val="both"/>
        <w:rPr>
          <w:rFonts w:ascii="Times New Roman" w:hAnsi="Times New Roman" w:cs="Times New Roman"/>
          <w:sz w:val="24"/>
          <w:szCs w:val="24"/>
          <w:lang w:val="en-US"/>
        </w:rPr>
      </w:pPr>
    </w:p>
    <w:p w:rsidR="008A1D2B"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The effect between math anxiety and math self-efficacy</w:t>
      </w:r>
    </w:p>
    <w:p w:rsidR="008A1D2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This study has relevance to previous research which states that there is a significant relationship between math anxiety and math self-efficacy</w:t>
      </w:r>
      <w:r w:rsidR="00CF2D4B" w:rsidRPr="00962996">
        <w:rPr>
          <w:rFonts w:ascii="Times New Roman" w:hAnsi="Times New Roman" w:cs="Times New Roman"/>
          <w:sz w:val="24"/>
          <w:szCs w:val="24"/>
          <w:lang w:val="en-US"/>
        </w:rPr>
        <w:t xml:space="preserve"> </w:t>
      </w:r>
      <w:r w:rsidR="00C96042" w:rsidRPr="00962996">
        <w:rPr>
          <w:rFonts w:ascii="Times New Roman" w:hAnsi="Times New Roman" w:cs="Times New Roman"/>
          <w:sz w:val="24"/>
          <w:szCs w:val="24"/>
          <w:lang w:val="en-US"/>
        </w:rPr>
        <w:fldChar w:fldCharType="begin" w:fldLock="1"/>
      </w:r>
      <w:r w:rsidR="00C96042" w:rsidRPr="00962996">
        <w:rPr>
          <w:rFonts w:ascii="Times New Roman" w:hAnsi="Times New Roman" w:cs="Times New Roman"/>
          <w:sz w:val="24"/>
          <w:szCs w:val="24"/>
          <w:lang w:val="en-US"/>
        </w:rPr>
        <w:instrText>ADDIN CSL_CITATION {"citationItems":[{"id":"ITEM-1","itemData":{"DOI":"10.1016/j.lindif.2021.102060","ISSN":"18733425","abstract":"The present study examined the reciprocal relations among mathematics interest (MI), mathematics anxiety (MA), mathematics self-efficacy (MSE) and mathematics achievement of primary school students. Based on longitudinal data from 2789 participants, general latent variable modeling framework was used to explore reciprocal effects. The results indicated that (a) prior mathematics achievement positively predicted later MI, whereas previous MI did not affect subsequent mathematics achievement; (b) there was a bidirectional relationship between MA and mathematics achievement as well as MSE and mathematics achievement; (c) prior MA and MSE significantly predicted later MI, whereas the opposite was not; and (d) MA and MSE were reciprocally linked over time. These research results emphasized the importance of developing students' positive mathematical attitudes, emotions and beliefs and shed light on primary school students' mathematics learning in China.","author":[{"dropping-particle":"","family":"Du","given":"Changhong","non-dropping-particle":"","parse-names":false,"suffix":""},{"dropping-particle":"","family":"Qin","given":"Kexin","non-dropping-particle":"","parse-names":false,"suffix":""},{"dropping-particle":"","family":"Wang","given":"Yehui","non-dropping-particle":"","parse-names":false,"suffix":""},{"dropping-particle":"","family":"Xin","given":"Tao","non-dropping-particle":"","parse-names":false,"suffix":""}],"container-title":"Learning and Individual Differences","id":"ITEM-1","issue":"102060","issued":{"date-parts":[["2021"]]},"page":"1-8","publisher":"Elsevier Inc.","title":"Mathematics interest, anxiety, self-efficacy and achievement: Examining reciprocal relations","type":"article-journal","volume":"91"},"uris":["http://www.mendeley.com/documents/?uuid=abf00351-dd77-4ec3-8dc2-d3a896f7dc75"]},{"id":"ITEM-2","itemData":{"DOI":"10.3389/fpsyg.2019.01721","ISSN":"16641078","abstract":"The goal of the current study is to examine the direct and indirect influences of parenting styles, math self-efficacy and the participants' sex on math anxiety. The research population included N=204 randomly selected participants, whose native language is Hebrew and were born in Israel. The participants filled out four measures that served as the research tools; a demographic questionnaire, a math anxiety questionnaire, a parenting style questionnaire about the mother of the child, and a math self-efficacy questionnaire. The research data concluded that there were strong correlations between the Authoritarian parenting style and math anxiety. The Authoritative parenting style had both a direct positive correlation and an indirect negative correlation on math anxiety. This is in contrast to the permissive parenting style which was exclusively found to have small positive correlation on math anxiety. The participant's sex had both direct and indirect influences on math anxiety. Math anxiety levels, as well as the negative effects of self-efficacy on the level of math anxiety, were higher in females compared to males. These findings are relevant when considering methods of diagnosis and intervention surrounding math anxiety; increased math anxiety in females suggests that they should have increased instances of diagnosis and intervention.","author":[{"dropping-particle":"","family":"Macmull","given":"Moran S.","non-dropping-particle":"","parse-names":false,"suffix":""},{"dropping-particle":"","family":"Ashkenazi","given":"Sarit","non-dropping-particle":"","parse-names":false,"suffix":""}],"container-title":"Frontiers in Psychology","id":"ITEM-2","issue":"1721","issued":{"date-parts":[["2019"]]},"page":"1-12","title":"Math anxiety: The relationship between parenting style and math self-efficacy","type":"article-journal","volume":"10"},"uris":["http://www.mendeley.com/documents/?uuid=ddd342c2-f96b-46ed-9770-23d8c18bb4d8"]}],"mendeley":{"formattedCitation":"(Du et al., 2021; Macmull &amp; Ashkenazi, 2019)","plainTextFormattedCitation":"(Du et al., 2021; Macmull &amp; Ashkenazi, 2019)","previouslyFormattedCitation":"(Du et al., 2021; Macmull &amp; Ashkenazi, 2019)"},"properties":{"noteIndex":0},"schema":"https://github.com/citation-style-language/schema/raw/master/csl-citation.json"}</w:instrText>
      </w:r>
      <w:r w:rsidR="00C96042" w:rsidRPr="00962996">
        <w:rPr>
          <w:rFonts w:ascii="Times New Roman" w:hAnsi="Times New Roman" w:cs="Times New Roman"/>
          <w:sz w:val="24"/>
          <w:szCs w:val="24"/>
          <w:lang w:val="en-US"/>
        </w:rPr>
        <w:fldChar w:fldCharType="separate"/>
      </w:r>
      <w:r w:rsidR="00C96042" w:rsidRPr="00962996">
        <w:rPr>
          <w:rFonts w:ascii="Times New Roman" w:hAnsi="Times New Roman" w:cs="Times New Roman"/>
          <w:noProof/>
          <w:sz w:val="24"/>
          <w:szCs w:val="24"/>
          <w:lang w:val="en-US"/>
        </w:rPr>
        <w:t>(Du et al., 2021; Macmull &amp; Ashkenazi, 2019)</w:t>
      </w:r>
      <w:r w:rsidR="00C96042" w:rsidRPr="00962996">
        <w:rPr>
          <w:rFonts w:ascii="Times New Roman" w:hAnsi="Times New Roman" w:cs="Times New Roman"/>
          <w:sz w:val="24"/>
          <w:szCs w:val="24"/>
          <w:lang w:val="en-US"/>
        </w:rPr>
        <w:fldChar w:fldCharType="end"/>
      </w:r>
      <w:r w:rsidR="00CF2D4B"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This means that the more anxious students are when dealing with math, the less confidence they have in their ability to solve math problems.</w:t>
      </w:r>
    </w:p>
    <w:p w:rsidR="008A1D2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fldChar w:fldCharType="begin" w:fldLock="1"/>
      </w:r>
      <w:r w:rsidRPr="00962996">
        <w:rPr>
          <w:rFonts w:ascii="Times New Roman" w:hAnsi="Times New Roman" w:cs="Times New Roman"/>
          <w:sz w:val="24"/>
          <w:szCs w:val="24"/>
          <w:lang w:val="en-US"/>
        </w:rPr>
        <w:instrText>ADDIN CSL_CITATION {"citationItems":[{"id":"ITEM-1","itemData":{"DOI":"10.1111/cdev.13347","ISSN":"14678624","PMID":"31845326","abstract":"Children with negative competence beliefs often achieve below their potential in school. This randomized field experiment tested whether engaging in positive self-talk may benefit these children’s mathematics performance. Participants (N = 212, Grades 4–6, Mage = 10.6) worked on the first half of a standardized mathematics test, engaged in effort self-talk (“I will do my very best!”), ability self-talk (“I am very good at this!”), or no self-talk, and worked on the second half of the test. Compared to both the conditions, effort self-talk benefited the performance of children holding negative competence beliefs: It severed the association between negative competence beliefs and poor performance. By internally asserting that they will deliver effort, children with negative competence beliefs can optimize their achievement in school.","author":[{"dropping-particle":"","family":"Thomaes","given":"Sander","non-dropping-particle":"","parse-names":false,"suffix":""},{"dropping-particle":"","family":"Tjaarda","given":"Iris Charlotte","non-dropping-particle":"","parse-names":false,"suffix":""},{"dropping-particle":"","family":"Brummelman","given":"Eddie","non-dropping-particle":"","parse-names":false,"suffix":""},{"dropping-particle":"","family":"Sedikides","given":"Constantine","non-dropping-particle":"","parse-names":false,"suffix":""}],"container-title":"Child Development","id":"ITEM-1","issue":"6","issued":{"date-parts":[["2020"]]},"page":"2211-2220","title":"Effort self-talk benefits the mathematics performance of children with negative competence beliefs","type":"article-journal","volume":"91"},"uris":["http://www.mendeley.com/documents/?uuid=13905582-8518-4a51-88be-de20900b0b4e"]}],"mendeley":{"formattedCitation":"(Thomaes et al., 2020)","manualFormatting":"Thomaes et al. (2020)","plainTextFormattedCitation":"(Thomaes et al., 2020)","previouslyFormattedCitation":"(Thomaes et al., 2020)"},"properties":{"noteIndex":0},"schema":"https://github.com/citation-style-language/schema/raw/master/csl-citation.json"}</w:instrText>
      </w:r>
      <w:r w:rsidRPr="00962996">
        <w:rPr>
          <w:rFonts w:ascii="Times New Roman" w:hAnsi="Times New Roman" w:cs="Times New Roman"/>
          <w:sz w:val="24"/>
          <w:szCs w:val="24"/>
          <w:lang w:val="en-US"/>
        </w:rPr>
        <w:fldChar w:fldCharType="separate"/>
      </w:r>
      <w:r w:rsidRPr="00962996">
        <w:rPr>
          <w:rFonts w:ascii="Times New Roman" w:hAnsi="Times New Roman" w:cs="Times New Roman"/>
          <w:noProof/>
          <w:sz w:val="24"/>
          <w:szCs w:val="24"/>
          <w:lang w:val="en-US"/>
        </w:rPr>
        <w:t>Thomaes et al. (2020)</w:t>
      </w:r>
      <w:r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r w:rsidR="008C2EEE" w:rsidRPr="00962996">
        <w:rPr>
          <w:rFonts w:ascii="Times New Roman" w:hAnsi="Times New Roman" w:cs="Times New Roman"/>
          <w:sz w:val="24"/>
          <w:szCs w:val="24"/>
          <w:lang w:val="en-US"/>
        </w:rPr>
        <w:t>state that when students with negative competen</w:t>
      </w:r>
      <w:r w:rsidR="00293FA8" w:rsidRPr="00962996">
        <w:rPr>
          <w:rFonts w:ascii="Times New Roman" w:hAnsi="Times New Roman" w:cs="Times New Roman"/>
          <w:sz w:val="24"/>
          <w:szCs w:val="24"/>
          <w:lang w:val="en-US"/>
        </w:rPr>
        <w:t>ce beliefs work on mathematics problems, they are prone to anticipate and worry about failure.</w:t>
      </w:r>
      <w:r w:rsidRPr="00962996">
        <w:rPr>
          <w:rFonts w:ascii="Times New Roman" w:hAnsi="Times New Roman" w:cs="Times New Roman"/>
          <w:sz w:val="24"/>
          <w:szCs w:val="24"/>
          <w:lang w:val="en-US"/>
        </w:rPr>
        <w:t xml:space="preserve"> </w:t>
      </w:r>
      <w:r w:rsidR="00293FA8" w:rsidRPr="00962996">
        <w:rPr>
          <w:rFonts w:ascii="Times New Roman" w:hAnsi="Times New Roman" w:cs="Times New Roman"/>
          <w:sz w:val="24"/>
          <w:szCs w:val="24"/>
          <w:lang w:val="en-US"/>
        </w:rPr>
        <w:t>Thus, it can trigger them to disengage from the task and ultimately reduce their math performance.</w:t>
      </w:r>
    </w:p>
    <w:p w:rsidR="00C36987"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Additionally, </w:t>
      </w:r>
      <w:r w:rsidR="00C96042" w:rsidRPr="00962996">
        <w:rPr>
          <w:rFonts w:ascii="Times New Roman" w:hAnsi="Times New Roman" w:cs="Times New Roman"/>
          <w:sz w:val="24"/>
          <w:szCs w:val="24"/>
          <w:lang w:val="en-US"/>
        </w:rPr>
        <w:fldChar w:fldCharType="begin" w:fldLock="1"/>
      </w:r>
      <w:r w:rsidR="00BD26EB" w:rsidRPr="00962996">
        <w:rPr>
          <w:rFonts w:ascii="Times New Roman" w:hAnsi="Times New Roman" w:cs="Times New Roman"/>
          <w:sz w:val="24"/>
          <w:szCs w:val="24"/>
          <w:lang w:val="en-US"/>
        </w:rPr>
        <w:instrText>ADDIN CSL_CITATION {"citationItems":[{"id":"ITEM-1","itemData":{"DOI":"10.30605/proximal.v5i2","abstract":"The purpose of this research was to determine how the relationship between self-efficacy and math anxiety on students’ critical thinking skills. The method used in this research is a correlational method with a quantitative approach using a population consisting of 144 students of class XI MIPA SMA Negeri 2 Tambun Utara, while with the cluster random sampling technique using the slovin formula a sample of 106 student of class XI SMA Negeri 2 Tambun Utara in the academic year 2021/2022. The instrument used consisted of a student’s critical thinking ability test with 8 questions and non-test in the form a selff-efficacy questionnaire with 21 statements and a mathematics anxiety questionnaire with 30 statements. The data analysis technique used multiple linear regression by calculating the coeffient of determination and testing the significance of the hypothesis with the F test and T test at a significant level of 5%. The results showed that the coefficient of determination was 0,053 or 5,3% while the remaining 94,7% was influenced by othe factors. In addition, based on the results of hypothesis testing using the F test, it can be concluded that self-efficacy and math anxiety have a strong relationship with their critical thinking skills. While the results of hypothesis testing with T test show there is no corellation between self- efficacy and critical thinking skills in students. And with the T test also obtained, it can be concluded that there is no corellation between mathematics anxiety and students’ critical thinking skills.","author":[{"dropping-particle":"","family":"Fitriyani","given":"Lutfia","non-dropping-particle":"","parse-names":false,"suffix":""},{"dropping-particle":"","family":"Miatun","given":"Asih","non-dropping-particle":"","parse-names":false,"suffix":""}],"container-title":"Proximal: Jurnal Penelitihan Matematika dan Pendidikan Matematika","id":"ITEM-1","issue":"2","issued":{"date-parts":[["2022"]]},"page":"168-180","title":"Efikasi diri dan kecemasan matematika hubungannya dengan kemampuan berpikir kritis siswa kelas xi mipa","type":"article-journal","volume":"5"},"uris":["http://www.mendeley.com/documents/?uuid=606fabd1-bbf2-420d-b6be-38cf0bffc9f7"]}],"mendeley":{"formattedCitation":"(Fitriyani &amp; Miatun, 2022)","manualFormatting":"Fitriyani &amp; Miatun (2022)","plainTextFormattedCitation":"(Fitriyani &amp; Miatun, 2022)","previouslyFormattedCitation":"(Fitriyani &amp; Miatun, 2022)"},"properties":{"noteIndex":0},"schema":"https://github.com/citation-style-language/schema/raw/master/csl-citation.json"}</w:instrText>
      </w:r>
      <w:r w:rsidR="00C96042" w:rsidRPr="00962996">
        <w:rPr>
          <w:rFonts w:ascii="Times New Roman" w:hAnsi="Times New Roman" w:cs="Times New Roman"/>
          <w:sz w:val="24"/>
          <w:szCs w:val="24"/>
          <w:lang w:val="en-US"/>
        </w:rPr>
        <w:fldChar w:fldCharType="separate"/>
      </w:r>
      <w:r w:rsidR="00C96042" w:rsidRPr="00962996">
        <w:rPr>
          <w:rFonts w:ascii="Times New Roman" w:hAnsi="Times New Roman" w:cs="Times New Roman"/>
          <w:noProof/>
          <w:sz w:val="24"/>
          <w:szCs w:val="24"/>
          <w:lang w:val="en-US"/>
        </w:rPr>
        <w:t>Fitriyani &amp; Miatun (2022)</w:t>
      </w:r>
      <w:r w:rsidR="00C96042" w:rsidRPr="00962996">
        <w:rPr>
          <w:rFonts w:ascii="Times New Roman" w:hAnsi="Times New Roman" w:cs="Times New Roman"/>
          <w:sz w:val="24"/>
          <w:szCs w:val="24"/>
          <w:lang w:val="en-US"/>
        </w:rPr>
        <w:fldChar w:fldCharType="end"/>
      </w:r>
      <w:r w:rsidR="00C96042"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stated that when students who have high self-confidence in mathematics cannot do math problems, which makes them feel anxious about mathematics, they will try to find ways to make the anxiety disappear.</w:t>
      </w:r>
    </w:p>
    <w:p w:rsidR="0027383E" w:rsidRPr="00962996" w:rsidRDefault="0027383E" w:rsidP="00962996">
      <w:pPr>
        <w:spacing w:after="0" w:line="240" w:lineRule="auto"/>
        <w:jc w:val="both"/>
        <w:rPr>
          <w:rFonts w:ascii="Times New Roman" w:hAnsi="Times New Roman" w:cs="Times New Roman"/>
          <w:sz w:val="24"/>
          <w:szCs w:val="24"/>
          <w:lang w:val="en-US"/>
        </w:rPr>
      </w:pPr>
    </w:p>
    <w:p w:rsidR="00962996" w:rsidRDefault="00962996">
      <w:pP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p>
    <w:p w:rsidR="00C3698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lastRenderedPageBreak/>
        <w:t>The effect between math self-efficacy and mathematics performance</w:t>
      </w:r>
    </w:p>
    <w:p w:rsidR="00AA1E28"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Meanwhile, this finding also shows that there is a significant effect between math self-efficacy and students' mathematics performance. Therefore, every increase in math self-efficacy is accompanied by an increase in math performance</w:t>
      </w:r>
      <w:r w:rsidR="00CD232A"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The results support the previous research which also states that there is a relationship between math self-efficacy and students' mathematics performance</w:t>
      </w:r>
      <w:r w:rsidR="00CE740C" w:rsidRPr="00962996">
        <w:rPr>
          <w:rFonts w:ascii="Times New Roman" w:hAnsi="Times New Roman" w:cs="Times New Roman"/>
          <w:sz w:val="24"/>
          <w:szCs w:val="24"/>
          <w:lang w:val="en-US"/>
        </w:rPr>
        <w:t xml:space="preserve"> </w:t>
      </w:r>
      <w:r w:rsidR="00BD26EB" w:rsidRPr="00962996">
        <w:rPr>
          <w:rFonts w:ascii="Times New Roman" w:hAnsi="Times New Roman" w:cs="Times New Roman"/>
          <w:sz w:val="24"/>
          <w:szCs w:val="24"/>
          <w:lang w:val="en-US"/>
        </w:rPr>
        <w:fldChar w:fldCharType="begin" w:fldLock="1"/>
      </w:r>
      <w:r w:rsidR="00BD26EB" w:rsidRPr="00962996">
        <w:rPr>
          <w:rFonts w:ascii="Times New Roman" w:hAnsi="Times New Roman" w:cs="Times New Roman"/>
          <w:sz w:val="24"/>
          <w:szCs w:val="24"/>
          <w:lang w:val="en-US"/>
        </w:rPr>
        <w:instrText>ADDIN CSL_CITATION {"citationItems":[{"id":"ITEM-1","itemData":{"DOI":"10.31289/analitika.v11i2.2878","abstract":"International surveys indicate that math performance of Indonesian students, at primary as well as secondary level are still low. This problem should be overcome at primary level, considering the urgency of mathematics in academic as well as non-academic settings. Researches indicate the factor which affect math performance at primary level is math anxiety. However, researchers of this study assume that those findings could not be generalized to 4-6 graders that is categorized as adolescent. During adolescence, individuals are more worried about social life than academics. Also, the achievement of adolescents was influenced by their self-efficacy. Therefore, this study aimed to test which factor between math anxiety and math self-efficacy has greater effect on the math performance of fifth grade students, so that it can be the basis of the interventions to improve students' math performance at that age. Participants consisted of 370 fifth graders in South Jakarta. Data collected through questionnaires and processed with multiple regression testing. Results showed that math self-efficacy has greater effects on math performance, rather than Mathematics anxiety, for fifth graders (R2 = 0,360, F (2,367) = 103,052, p&lt;0,00) Thus, interventions to improve the math performance of the fifth graders will be more effective if they focus on math self-efficacy.","author":[{"dropping-particle":"","family":"Chandra","given":"Tiffany","non-dropping-particle":"","parse-names":false,"suffix":""},{"dropping-particle":"","family":"Royanto","given":"Lucia R M","non-dropping-particle":"","parse-names":false,"suffix":""}],"container-title":"Jurnal Magister Psikologi UMA (ANALITIKA)","id":"ITEM-1","issue":"2","issued":{"date-parts":[["2019"]]},"page":"126-136","title":"Pengaruh math self-efficacy dan math anxiety terhadap performansi matematika pada siswa kelas v sd","type":"article-journal","volume":"11"},"uris":["http://www.mendeley.com/documents/?uuid=c2a01fc6-bed7-4395-ac40-38f8535ef0f4"]},{"id":"ITEM-2","itemData":{"DOI":"10.18844/cjes.v14i2.3766","abstract":"This study investigated secondary school sixth, seventh and eighth graders’ self-efficacy beliefs, engagement and disaffection in Math lessons and academic achievement in relation to learning Mathematics and Math performance. The study was conducted with the voluntary participation of 651 sixth, seventh and eighth graders attending secondary school. Research data were collected with the help of ‘Engagement and Disaffection Scale’, ‘Self-Efficacy sub dimension’ of ‘Motivation Scale’ related to learning and performance and students’ Math first semester grades. It was identified in the study that students’ self-efficacy beliefs in learning and performance in Math significantly and positively predicted their Math achievement. Behavioural and affective disaffection in Math lessons were found to predict Math achievement negatively. It was determined in the study that students’ self-efficacy beliefs related to learning and performance in Math significantly predicted their behavioural and affective engagement in Math positively while predicting their behavioural and affective disaffection negatively.","author":[{"dropping-particle":"","family":"Ozkal","given":"Nese","non-dropping-particle":"","parse-names":false,"suffix":""}],"container-title":"Cypriot Journal of Educational Sciences","id":"ITEM-2","issue":"2","issued":{"date-parts":[["2019"]]},"page":"190-200","title":"Relationships between self-efficacy beliefs, enggagement and academic performance in math lessons","type":"article-journal","volume":"14"},"uris":["http://www.mendeley.com/documents/?uuid=7710f921-7a32-4881-b2eb-a352159557b8"]},{"id":"ITEM-3","itemData":{"DOI":"10.1016/j.lindif.2018.01.008","ISSN":"18733425","abstract":"Academic self-efficacy is widely accepted as being both the cause and effect of academic achievement. However, empirical research using longitudinal data and domain-specific assessments is scarce and seems to be completely absent in domains other than mathematics. We drew on a sample of N = 1597 secondary school students in Germany and 2 measurement occasions within 1 school year to test for reciprocal effects between self-efficacy and achievement in the domains of mathematics and reading. Despite high stabilities of achievement and self-efficacy, structural equation modeling revealed positive effects of mathematics self-efficacy on later mathematics achievement and of reading achievement on later reading self-efficacy. Evidence for reciprocal effects resulted in the domain of reading from separately considering students with and without a migration background in multiple group models. The findings highlight the necessity of early interventions and a domain-specific approach.","author":[{"dropping-particle":"","family":"Schöber","given":"Christian","non-dropping-particle":"","parse-names":false,"suffix":""},{"dropping-particle":"","family":"Schütte","given":"Kerstin","non-dropping-particle":"","parse-names":false,"suffix":""},{"dropping-particle":"","family":"Köller","given":"Olaf","non-dropping-particle":"","parse-names":false,"suffix":""},{"dropping-particle":"","family":"McElvany","given":"Nele","non-dropping-particle":"","parse-names":false,"suffix":""},{"dropping-particle":"","family":"Gebauer","given":"Miriam M.","non-dropping-particle":"","parse-names":false,"suffix":""}],"container-title":"Learning and Individual Differences","id":"ITEM-3","issued":{"date-parts":[["2018"]]},"page":"1-11","title":"Reciprocal effects between self-efficacy and achievement in mathematics and reading","type":"article-journal","volume":"63"},"uris":["http://www.mendeley.com/documents/?uuid=bde64540-c7fc-4f19-8b7c-9fe1c9425ea6"]}],"mendeley":{"formattedCitation":"(Chandra &amp; Royanto, 2019; Ozkal, 2019; Schöber et al., 2018)","plainTextFormattedCitation":"(Chandra &amp; Royanto, 2019; Ozkal, 2019; Schöber et al., 2018)","previouslyFormattedCitation":"(Chandra &amp; Royanto, 2019; Ozkal, 2019; Schöber et al., 2018)"},"properties":{"noteIndex":0},"schema":"https://github.com/citation-style-language/schema/raw/master/csl-citation.json"}</w:instrText>
      </w:r>
      <w:r w:rsidR="00BD26EB" w:rsidRPr="00962996">
        <w:rPr>
          <w:rFonts w:ascii="Times New Roman" w:hAnsi="Times New Roman" w:cs="Times New Roman"/>
          <w:sz w:val="24"/>
          <w:szCs w:val="24"/>
          <w:lang w:val="en-US"/>
        </w:rPr>
        <w:fldChar w:fldCharType="separate"/>
      </w:r>
      <w:r w:rsidR="00BD26EB" w:rsidRPr="00962996">
        <w:rPr>
          <w:rFonts w:ascii="Times New Roman" w:hAnsi="Times New Roman" w:cs="Times New Roman"/>
          <w:noProof/>
          <w:sz w:val="24"/>
          <w:szCs w:val="24"/>
          <w:lang w:val="en-US"/>
        </w:rPr>
        <w:t>(Chandra &amp; Royanto, 2019; Ozkal, 2019; Schöber et al., 2018)</w:t>
      </w:r>
      <w:r w:rsidR="00BD26EB" w:rsidRPr="00962996">
        <w:rPr>
          <w:rFonts w:ascii="Times New Roman" w:hAnsi="Times New Roman" w:cs="Times New Roman"/>
          <w:sz w:val="24"/>
          <w:szCs w:val="24"/>
          <w:lang w:val="en-US"/>
        </w:rPr>
        <w:fldChar w:fldCharType="end"/>
      </w:r>
      <w:r w:rsidR="004827AD" w:rsidRPr="00962996">
        <w:rPr>
          <w:rFonts w:ascii="Times New Roman" w:hAnsi="Times New Roman" w:cs="Times New Roman"/>
          <w:sz w:val="24"/>
          <w:szCs w:val="24"/>
          <w:lang w:val="en-US"/>
        </w:rPr>
        <w:t>.</w:t>
      </w:r>
      <w:r w:rsidR="00922521" w:rsidRPr="00962996">
        <w:rPr>
          <w:rFonts w:ascii="Times New Roman" w:hAnsi="Times New Roman" w:cs="Times New Roman"/>
          <w:sz w:val="24"/>
          <w:szCs w:val="24"/>
          <w:lang w:val="en-US"/>
        </w:rPr>
        <w:t xml:space="preserve"> </w:t>
      </w:r>
      <w:r w:rsidRPr="00962996">
        <w:rPr>
          <w:rFonts w:ascii="Times New Roman" w:hAnsi="Times New Roman" w:cs="Times New Roman"/>
          <w:sz w:val="24"/>
          <w:szCs w:val="24"/>
          <w:lang w:val="en-US"/>
        </w:rPr>
        <w:t xml:space="preserve">Additionally, students who have higher math self-efficacy tend to perform well on math achievement tests </w:t>
      </w:r>
      <w:r w:rsidR="00BD26EB" w:rsidRPr="00962996">
        <w:rPr>
          <w:rFonts w:ascii="Times New Roman" w:hAnsi="Times New Roman" w:cs="Times New Roman"/>
          <w:sz w:val="24"/>
          <w:szCs w:val="24"/>
        </w:rPr>
        <w:fldChar w:fldCharType="begin" w:fldLock="1"/>
      </w:r>
      <w:r w:rsidR="00BD26EB" w:rsidRPr="00962996">
        <w:rPr>
          <w:rFonts w:ascii="Times New Roman" w:hAnsi="Times New Roman" w:cs="Times New Roman"/>
          <w:sz w:val="24"/>
          <w:szCs w:val="24"/>
        </w:rPr>
        <w:instrText>ADDIN CSL_CITATION {"citationItems":[{"id":"ITEM-1","itemData":{"DOI":"10.1016/j.chb.2016.11.063","ISSN":"07475632","abstract":"With increasingly sophisticated information and communications technologies in the modern era, technology is considered to be an important agent for children's perceptual and cognitive skill development. Yet, research on the effect of technology on students' academic learning is inconclusive because there is a longstanding debate about the impact of internet use and video gameplay on student learning achievement. This study examined the relationships between math self-efficacy, extracurricular technology-related activities (TRAs) and Canadian sixth graders' math achievement. Using large-scale student survey and test performance data (N = 26,767), we examined the latent structural relationship between the TRAs (e.g., video gameplay, internet use and TV viewing) and math achievement by taking into account students' self-efficacy as a mediator. Results from structural equation modeling confirmed our hypotheses indicating the negative direct effects of TRAs on math achievement and a positive mediating effect of math self-efficacy on the relationship between video gameplay and math achievement. We also observed negative indirect effects of TV reviewing and internet use on math achievement via math self-efficacy. This study emphasizes the critical interaction between students' psychological orientations and external digital surroundings on their academic achievement.","author":[{"dropping-particle":"","family":"Xu","given":"Zhenhua","non-dropping-particle":"","parse-names":false,"suffix":""},{"dropping-particle":"","family":"Jang","given":"Eunice Eunhee","non-dropping-particle":"","parse-names":false,"suffix":""}],"container-title":"Computers in Human Behavior","id":"ITEM-1","issued":{"date-parts":[["2017"]]},"note":"55","page":"547-555","publisher":"Elsevier Ltd","title":"The role of math self-efficacy in the structural model of extracurricular technology-related activities and junior elementary school students' mathematics ability","type":"article-journal","volume":"68"},"uris":["http://www.mendeley.com/documents/?uuid=6f18813d-9f79-40dc-8919-ac9f869e9c79"]}],"mendeley":{"formattedCitation":"(Xu &amp; Jang, 2017)","plainTextFormattedCitation":"(Xu &amp; Jang, 2017)","previouslyFormattedCitation":"(Xu &amp; Jang, 2017)"},"properties":{"noteIndex":0},"schema":"https://github.com/citation-style-language/schema/raw/master/csl-citation.json"}</w:instrText>
      </w:r>
      <w:r w:rsidR="00BD26EB" w:rsidRPr="00962996">
        <w:rPr>
          <w:rFonts w:ascii="Times New Roman" w:hAnsi="Times New Roman" w:cs="Times New Roman"/>
          <w:sz w:val="24"/>
          <w:szCs w:val="24"/>
        </w:rPr>
        <w:fldChar w:fldCharType="separate"/>
      </w:r>
      <w:r w:rsidR="00BD26EB" w:rsidRPr="00962996">
        <w:rPr>
          <w:rFonts w:ascii="Times New Roman" w:hAnsi="Times New Roman" w:cs="Times New Roman"/>
          <w:noProof/>
          <w:sz w:val="24"/>
          <w:szCs w:val="24"/>
        </w:rPr>
        <w:t>(Xu &amp; Jang, 2017)</w:t>
      </w:r>
      <w:r w:rsidR="00BD26EB" w:rsidRPr="00962996">
        <w:rPr>
          <w:rFonts w:ascii="Times New Roman" w:hAnsi="Times New Roman" w:cs="Times New Roman"/>
          <w:sz w:val="24"/>
          <w:szCs w:val="24"/>
        </w:rPr>
        <w:fldChar w:fldCharType="end"/>
      </w:r>
      <w:r w:rsidR="00BD2663" w:rsidRPr="00962996">
        <w:rPr>
          <w:rFonts w:ascii="Times New Roman" w:hAnsi="Times New Roman" w:cs="Times New Roman"/>
          <w:sz w:val="24"/>
          <w:szCs w:val="24"/>
        </w:rPr>
        <w:t xml:space="preserve">. </w:t>
      </w:r>
      <w:r w:rsidR="0093542D" w:rsidRPr="00962996">
        <w:rPr>
          <w:rFonts w:ascii="Times New Roman" w:hAnsi="Times New Roman" w:cs="Times New Roman"/>
          <w:sz w:val="24"/>
          <w:szCs w:val="24"/>
          <w:lang w:val="en-US"/>
        </w:rPr>
        <w:t xml:space="preserve">And when students' math performance has increased, it can make students able to do learning activities or academic tasks smoothly, thus making students more motivated in the learning process and eventually can get better mathematics achievement </w:t>
      </w:r>
      <w:r w:rsidR="00BD26EB" w:rsidRPr="00962996">
        <w:rPr>
          <w:rFonts w:ascii="Times New Roman" w:hAnsi="Times New Roman" w:cs="Times New Roman"/>
          <w:sz w:val="24"/>
          <w:szCs w:val="24"/>
          <w:lang w:val="en-US"/>
        </w:rPr>
        <w:fldChar w:fldCharType="begin" w:fldLock="1"/>
      </w:r>
      <w:r w:rsidR="001C5DA9" w:rsidRPr="00962996">
        <w:rPr>
          <w:rFonts w:ascii="Times New Roman" w:hAnsi="Times New Roman" w:cs="Times New Roman"/>
          <w:sz w:val="24"/>
          <w:szCs w:val="24"/>
          <w:lang w:val="en-US"/>
        </w:rPr>
        <w:instrText>ADDIN CSL_CITATION {"citationItems":[{"id":"ITEM-1","itemData":{"DOI":"10.29103/mjml.v1i1.679","ISSN":"2620-6315","abstract":"One of the important affective factors for students in mathematics learning is self-efficacy. The students should have high mathematics self-efficacy. So, it can support the success of learning process. The facts that indicated the low of students’ mathematics self-efficacy, encouraging the efforts to improve self-efficacy through the improvement of the learning process. One of them is by applying the problem based learning approach. This research was a classroom action research by applying problem based learning approach to improve students’ mathematics self-efficacy. The classroom action research was done in two cycles. Each cycle consists of planning, action, observation, and reflection. The findings of this research revealed that the problem based learning approach could improve student’s mathematics self-efficacy. At the end of the first cycle, the students’ mathematics self-efficacy was still in the medium category and increased at the end of the second cycle, which students’ mathematics self-efficacy has been in high category.","author":[{"dropping-particle":"","family":"Masitoh","given":"Lisda Fitriana","non-dropping-particle":"","parse-names":false,"suffix":""},{"dropping-particle":"","family":"Fitriyani","given":"Harina","non-dropping-particle":"","parse-names":false,"suffix":""}],"container-title":"Malikussaleh Journal of Mathematics Learning (MJML)","id":"ITEM-1","issue":"1","issued":{"date-parts":[["2018"]]},"page":"26-30","title":"Improving students’ mathematics self-efficacy through problem based learning","type":"article-journal","volume":"1"},"uris":["http://www.mendeley.com/documents/?uuid=e6684f36-6b08-4e53-9342-721a1e53fae8"]},{"id":"ITEM-2","itemData":{"DOI":"10.18844/cjes.v14i2.3766","abstract":"This study investigated secondary school sixth, seventh and eighth graders’ self-efficacy beliefs, engagement and disaffection in Math lessons and academic achievement in relation to learning Mathematics and Math performance. The study was conducted with the voluntary participation of 651 sixth, seventh and eighth graders attending secondary school. Research data were collected with the help of ‘Engagement and Disaffection Scale’, ‘Self-Efficacy sub dimension’ of ‘Motivation Scale’ related to learning and performance and students’ Math first semester grades. It was identified in the study that students’ self-efficacy beliefs in learning and performance in Math significantly and positively predicted their Math achievement. Behavioural and affective disaffection in Math lessons were found to predict Math achievement negatively. It was determined in the study that students’ self-efficacy beliefs related to learning and performance in Math significantly predicted their behavioural and affective engagement in Math positively while predicting their behavioural and affective disaffection negatively.","author":[{"dropping-particle":"","family":"Ozkal","given":"Nese","non-dropping-particle":"","parse-names":false,"suffix":""}],"container-title":"Cypriot Journal of Educational Sciences","id":"ITEM-2","issue":"2","issued":{"date-parts":[["2019"]]},"page":"190-200","title":"Relationships between self-efficacy beliefs, enggagement and academic performance in math lessons","type":"article-journal","volume":"14"},"uris":["http://www.mendeley.com/documents/?uuid=7710f921-7a32-4881-b2eb-a352159557b8"]},{"id":"ITEM-3","itemData":{"DOI":"10.29210/118800","ISSN":"2337-6740","abstract":"Mathematical problem Mathematical problem solving ability is solving ability is surely surely the must-have any the must-have any students in students in doinga doinga math math problem that problem that is abstract. But many is abstract. But many ofthe students who ofthe students who have have not not been able been able to use to use the problem- the problem- solving ability in solving ability in doing a doing a math math problem. Many problem. Many of of them assumed them assumed that mathematics that mathematics is a is a difficult lesson, and it usually requires a high concentration oflearning math. So the efficacy of difficult lesson, and it usually requires a high concentration oflearning math. So the efficacy of self(selfefficacy) is in need ofstudents to cope with these problems. Self-efficacy (selfefficacy) refers self(selfefficacy) is in need ofstudents to cope with these problems. Self-efficacy (selfefficacy) refers to the to the beliefthat relates beliefthat relates to the to the ability ability and willingness of and willingness of a student to a student to achieve achieve and complete and complete tasks and results of the study with tasks and results of the study with the target time has been determined and selfefficacy refers the target time has been determined and selfefficacy refers to to the consideration ofhow big someone's beliefs about their ability to perform a number oflearning the consideration ofhow big someone's beliefs about their ability to perform a number oflearning activities and their ability to complete tasks. Students who have a good self-efficacy will be successful activities and their ability to complete tasks. Students who have a good self-efficacy will be successful in theirlearning activities andcanperform academic duties smoothly likewise viceversa ifthe efficacy in in theirlearning activities andcanperform academic duties smoothly likewise viceversa ifthe efficacy in low students then have students will quickly give up on any problems in dealing with. Hence the need low students then have students will quickly give up on any problems in dealing with. Hence the need for self-efficacy so that arise from the student is either the later will provide confidence in the ability r self-efficacy so that arise from the student is either the later will provide confidence in the ability ofstudents in solving mathematical problems.","author":[{"dropping-particle":"","family":"Somawati","given":"Somawati","non-dropping-particle":"","parse-names":false,"suffix":""}],"container-title":"Jurnal Konseling dan Pendidikan","id":"ITEM-3","issue":"1","issued":{"date-parts":[["2018"]]},"page":"39-45","title":"Peran efikasi diri (self efficacy) terhadap kemampuan pemecahan masalah matematika","type":"article-journal","volume":"6"},"uris":["http://www.mendeley.com/documents/?uuid=b0b99f72-7cc0-4db5-b9a2-74bfa58397e4"]}],"mendeley":{"formattedCitation":"(Masitoh &amp; Fitriyani, 2018; Ozkal, 2019; Somawati, 2018)","plainTextFormattedCitation":"(Masitoh &amp; Fitriyani, 2018; Ozkal, 2019; Somawati, 2018)","previouslyFormattedCitation":"(Masitoh &amp; Fitriyani, 2018; Ozkal, 2019; Somawati, 2018)"},"properties":{"noteIndex":0},"schema":"https://github.com/citation-style-language/schema/raw/master/csl-citation.json"}</w:instrText>
      </w:r>
      <w:r w:rsidR="00BD26EB" w:rsidRPr="00962996">
        <w:rPr>
          <w:rFonts w:ascii="Times New Roman" w:hAnsi="Times New Roman" w:cs="Times New Roman"/>
          <w:sz w:val="24"/>
          <w:szCs w:val="24"/>
          <w:lang w:val="en-US"/>
        </w:rPr>
        <w:fldChar w:fldCharType="separate"/>
      </w:r>
      <w:r w:rsidR="00BD26EB" w:rsidRPr="00962996">
        <w:rPr>
          <w:rFonts w:ascii="Times New Roman" w:hAnsi="Times New Roman" w:cs="Times New Roman"/>
          <w:noProof/>
          <w:sz w:val="24"/>
          <w:szCs w:val="24"/>
          <w:lang w:val="en-US"/>
        </w:rPr>
        <w:t>(Masitoh &amp; Fitriyani, 2018; Ozkal, 2019; Somawati, 2018)</w:t>
      </w:r>
      <w:r w:rsidR="00BD26EB"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w:t>
      </w:r>
    </w:p>
    <w:p w:rsidR="00C36987" w:rsidRPr="00962996" w:rsidRDefault="00C36987" w:rsidP="00962996">
      <w:pPr>
        <w:spacing w:after="0" w:line="240" w:lineRule="auto"/>
        <w:jc w:val="both"/>
        <w:rPr>
          <w:rFonts w:ascii="Times New Roman" w:hAnsi="Times New Roman" w:cs="Times New Roman"/>
          <w:sz w:val="24"/>
          <w:szCs w:val="24"/>
          <w:lang w:val="en-US"/>
        </w:rPr>
      </w:pPr>
    </w:p>
    <w:p w:rsidR="00C36987"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Math self-efficacy as a mediator</w:t>
      </w:r>
    </w:p>
    <w:p w:rsidR="00F2315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The mediation analysis in this study shows that math self-efficacy fully mediates the effect between math anxiety and math performance, which means that the effect between math anxiety and math performance is always mediated by math self-efficacy</w:t>
      </w:r>
      <w:r w:rsidR="00486049" w:rsidRPr="00962996">
        <w:rPr>
          <w:rFonts w:ascii="Times New Roman" w:hAnsi="Times New Roman" w:cs="Times New Roman"/>
          <w:sz w:val="24"/>
          <w:szCs w:val="24"/>
          <w:lang w:val="en-US"/>
        </w:rPr>
        <w:t xml:space="preserve">. </w:t>
      </w:r>
      <w:r w:rsidR="00E60138" w:rsidRPr="00962996">
        <w:rPr>
          <w:rFonts w:ascii="Times New Roman" w:hAnsi="Times New Roman" w:cs="Times New Roman"/>
          <w:sz w:val="24"/>
          <w:szCs w:val="24"/>
        </w:rPr>
        <w:t xml:space="preserve">In other words, it shows that any increase in math anxiety in students cannot explain the effect on students' math performance. </w:t>
      </w:r>
      <w:r w:rsidR="00E60138" w:rsidRPr="00962996">
        <w:rPr>
          <w:rFonts w:ascii="Times New Roman" w:hAnsi="Times New Roman" w:cs="Times New Roman"/>
          <w:sz w:val="24"/>
          <w:szCs w:val="24"/>
          <w:lang w:val="en-US"/>
        </w:rPr>
        <w:t xml:space="preserve">However, when mediated by math self-efficacy, making any increase in math anxiety can explain </w:t>
      </w:r>
      <w:r w:rsidR="007D2014" w:rsidRPr="00962996">
        <w:rPr>
          <w:rFonts w:ascii="Times New Roman" w:hAnsi="Times New Roman" w:cs="Times New Roman"/>
          <w:sz w:val="24"/>
          <w:szCs w:val="24"/>
          <w:lang w:val="en-US"/>
        </w:rPr>
        <w:t>the</w:t>
      </w:r>
      <w:r w:rsidR="00E60138" w:rsidRPr="00962996">
        <w:rPr>
          <w:rFonts w:ascii="Times New Roman" w:hAnsi="Times New Roman" w:cs="Times New Roman"/>
          <w:sz w:val="24"/>
          <w:szCs w:val="24"/>
          <w:lang w:val="en-US"/>
        </w:rPr>
        <w:t xml:space="preserve"> effect on math performance. </w:t>
      </w:r>
      <w:r w:rsidR="007D2014" w:rsidRPr="00962996">
        <w:rPr>
          <w:rFonts w:ascii="Times New Roman" w:hAnsi="Times New Roman" w:cs="Times New Roman"/>
          <w:sz w:val="24"/>
          <w:szCs w:val="24"/>
          <w:lang w:val="en-US"/>
        </w:rPr>
        <w:t>These results support the results of previous studies on the relationship between math interest and math achievement, which show the important role of math self-efficacy in mediating the positive relationship between math interest and math performance</w:t>
      </w:r>
      <w:r w:rsidRPr="00962996">
        <w:rPr>
          <w:rFonts w:ascii="Times New Roman" w:hAnsi="Times New Roman" w:cs="Times New Roman"/>
          <w:sz w:val="24"/>
          <w:szCs w:val="24"/>
          <w:lang w:val="en-US"/>
        </w:rPr>
        <w:t xml:space="preserve"> </w:t>
      </w:r>
      <w:r w:rsidR="001C5DA9" w:rsidRPr="00962996">
        <w:rPr>
          <w:rFonts w:ascii="Times New Roman" w:hAnsi="Times New Roman" w:cs="Times New Roman"/>
          <w:sz w:val="24"/>
          <w:szCs w:val="24"/>
          <w:lang w:val="en-US"/>
        </w:rPr>
        <w:fldChar w:fldCharType="begin" w:fldLock="1"/>
      </w:r>
      <w:r w:rsidR="001C5DA9" w:rsidRPr="00962996">
        <w:rPr>
          <w:rFonts w:ascii="Times New Roman" w:hAnsi="Times New Roman" w:cs="Times New Roman"/>
          <w:sz w:val="24"/>
          <w:szCs w:val="24"/>
          <w:lang w:val="en-US"/>
        </w:rPr>
        <w:instrText>ADDIN CSL_CITATION {"citationItems":[{"id":"ITEM-1","itemData":{"DOI":"10.1016/j.ijer.2020.101648","ISSN":"08830355","abstract":"This study investigates the mediating roles of self-efficacy and mathematics anxiety on the effects of mathematics interest on mathematics achievement. A total of 158161 eighth grade students from 4 province of China participated in the large-scale survey. The findings reveal that (1) mathematics interest had a direct and positive effect on students’ mathematics achievement; (2) the positive relationship between mathematics interest and mathematics achievement was partially mediated by self-efficacy; (3) self-efficacy and then mathematics anxiety serially mediated the relationship between mathematics interest and mathematics achievement, but the effect of self-efficacy on mathematics anxiety was relatively smaller. Implications for mathematics education and suggestions for future study are discussed.","author":[{"dropping-particle":"","family":"Zhang","given":"Di","non-dropping-particle":"","parse-names":false,"suffix":""},{"dropping-particle":"","family":"Wang","given":"Chan","non-dropping-particle":"","parse-names":false,"suffix":""}],"container-title":"International Journal of Educational Research","id":"ITEM-1","issue":"101648","issued":{"date-parts":[["2020"]]},"page":"1-9","publisher":"Elsevier","title":"The relationship between mathematics interest and mathematics achievement: Mediating roles of self-efficacy and mathematics anxiety","type":"article-journal","volume":"104"},"uris":["http://www.mendeley.com/documents/?uuid=24f5ba18-8143-4781-aa74-7cc3c68b32c0"]}],"mendeley":{"formattedCitation":"(D. Zhang &amp; Wang, 2020)","plainTextFormattedCitation":"(D. Zhang &amp; Wang, 2020)","previouslyFormattedCitation":"(D. Zhang &amp; Wang, 2020)"},"properties":{"noteIndex":0},"schema":"https://github.com/citation-style-language/schema/raw/master/csl-citation.json"}</w:instrText>
      </w:r>
      <w:r w:rsidR="001C5DA9" w:rsidRPr="00962996">
        <w:rPr>
          <w:rFonts w:ascii="Times New Roman" w:hAnsi="Times New Roman" w:cs="Times New Roman"/>
          <w:sz w:val="24"/>
          <w:szCs w:val="24"/>
          <w:lang w:val="en-US"/>
        </w:rPr>
        <w:fldChar w:fldCharType="separate"/>
      </w:r>
      <w:r w:rsidR="001C5DA9" w:rsidRPr="00962996">
        <w:rPr>
          <w:rFonts w:ascii="Times New Roman" w:hAnsi="Times New Roman" w:cs="Times New Roman"/>
          <w:noProof/>
          <w:sz w:val="24"/>
          <w:szCs w:val="24"/>
          <w:lang w:val="en-US"/>
        </w:rPr>
        <w:t>(D. Zhang &amp; Wang, 2020)</w:t>
      </w:r>
      <w:r w:rsidR="001C5DA9"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w:t>
      </w:r>
      <w:r w:rsidR="001006D0" w:rsidRPr="00962996">
        <w:rPr>
          <w:rFonts w:ascii="Times New Roman" w:hAnsi="Times New Roman" w:cs="Times New Roman"/>
          <w:sz w:val="24"/>
          <w:szCs w:val="24"/>
          <w:lang w:val="en-US"/>
        </w:rPr>
        <w:t xml:space="preserve"> </w:t>
      </w:r>
      <w:r w:rsidR="007D2014" w:rsidRPr="00962996">
        <w:rPr>
          <w:rFonts w:ascii="Times New Roman" w:hAnsi="Times New Roman" w:cs="Times New Roman"/>
          <w:sz w:val="24"/>
          <w:szCs w:val="24"/>
          <w:lang w:val="en-US"/>
        </w:rPr>
        <w:t>Additionally, the research of</w:t>
      </w:r>
      <w:r w:rsidR="001006D0" w:rsidRPr="00962996">
        <w:rPr>
          <w:rFonts w:ascii="Times New Roman" w:hAnsi="Times New Roman" w:cs="Times New Roman"/>
          <w:sz w:val="24"/>
          <w:szCs w:val="24"/>
          <w:lang w:val="en-US"/>
        </w:rPr>
        <w:t xml:space="preserve"> </w:t>
      </w:r>
      <w:r w:rsidR="001C5DA9" w:rsidRPr="00962996">
        <w:rPr>
          <w:rFonts w:ascii="Times New Roman" w:hAnsi="Times New Roman" w:cs="Times New Roman"/>
          <w:sz w:val="24"/>
          <w:szCs w:val="24"/>
          <w:lang w:val="en-US"/>
        </w:rPr>
        <w:fldChar w:fldCharType="begin" w:fldLock="1"/>
      </w:r>
      <w:r w:rsidR="001C5DA9" w:rsidRPr="00962996">
        <w:rPr>
          <w:rFonts w:ascii="Times New Roman" w:hAnsi="Times New Roman" w:cs="Times New Roman"/>
          <w:sz w:val="24"/>
          <w:szCs w:val="24"/>
          <w:lang w:val="en-US"/>
        </w:rPr>
        <w:instrText>ADDIN CSL_CITATION {"citationItems":[{"id":"ITEM-1","itemData":{"DOI":"10.3389/fpsyg.2021.798090","ISSN":"16641078","abstract":"It is well established that math anxiety has a negative relationship with math performance (MP). A few theories have provided explanations for this relationship. One of them, the Attentional Control Theory (ACT), suggests that anxiety can negatively impact the attentional control system and increase one's attention to threat-related stimuli. Within the ACT framework, the math anxiety (MA)—working memory (WM) relationship is argued to be critical for math performance. The present meta-analyses provides insights into the mechanisms of the MA—MP relation and the mediating role of WM. Through database searches with pre-determined search strings, 1,346 unique articles were identified. After excluding non-relevant studies, data from 57 studies and 150 effect sizes were used for investigating the MA—MP correlation using a random-effects model. This resulted in a mean correlation of r = −0.168. The database search of WM as a mediator for the MA—MP relation revealed 15 effects sizes leading to a descriptive rather than a generalizable statistic, with a mean indirect effect size of −0.092. Overall, the results confirm the ACT theory, WM does play a significant role in the MA—MP relationship.","author":[{"dropping-particle":"","family":"Finell","given":"Jonatan","non-dropping-particle":"","parse-names":false,"suffix":""},{"dropping-particle":"","family":"Sammallahti","given":"Ellen","non-dropping-particle":"","parse-names":false,"suffix":""},{"dropping-particle":"","family":"Korhonen","given":"Johan","non-dropping-particle":"","parse-names":false,"suffix":""},{"dropping-particle":"","family":"Eklöf","given":"Hanna","non-dropping-particle":"","parse-names":false,"suffix":""},{"dropping-particle":"","family":"Jonsson","given":"Bert","non-dropping-particle":"","parse-names":false,"suffix":""}],"container-title":"Frontiers in Psychology","id":"ITEM-1","issue":"798090","issued":{"date-parts":[["2022"]]},"page":"1-14","title":"Working memory and its mediating role on the relationship of math anxiety and math performance: a meta-analysis","type":"article-journal","volume":"12"},"uris":["http://www.mendeley.com/documents/?uuid=5fba6141-a8cc-4945-b98e-c6b8b2c50c82"]}],"mendeley":{"formattedCitation":"(Finell et al., 2022)","manualFormatting":"Finell et al. (2022)","plainTextFormattedCitation":"(Finell et al., 2022)","previouslyFormattedCitation":"(Finell et al., 2022)"},"properties":{"noteIndex":0},"schema":"https://github.com/citation-style-language/schema/raw/master/csl-citation.json"}</w:instrText>
      </w:r>
      <w:r w:rsidR="001C5DA9" w:rsidRPr="00962996">
        <w:rPr>
          <w:rFonts w:ascii="Times New Roman" w:hAnsi="Times New Roman" w:cs="Times New Roman"/>
          <w:sz w:val="24"/>
          <w:szCs w:val="24"/>
          <w:lang w:val="en-US"/>
        </w:rPr>
        <w:fldChar w:fldCharType="separate"/>
      </w:r>
      <w:r w:rsidR="001C5DA9" w:rsidRPr="00962996">
        <w:rPr>
          <w:rFonts w:ascii="Times New Roman" w:hAnsi="Times New Roman" w:cs="Times New Roman"/>
          <w:noProof/>
          <w:sz w:val="24"/>
          <w:szCs w:val="24"/>
          <w:lang w:val="en-US"/>
        </w:rPr>
        <w:t>Finell et al. (2022)</w:t>
      </w:r>
      <w:r w:rsidR="001C5DA9" w:rsidRPr="00962996">
        <w:rPr>
          <w:rFonts w:ascii="Times New Roman" w:hAnsi="Times New Roman" w:cs="Times New Roman"/>
          <w:sz w:val="24"/>
          <w:szCs w:val="24"/>
          <w:lang w:val="en-US"/>
        </w:rPr>
        <w:fldChar w:fldCharType="end"/>
      </w:r>
      <w:r w:rsidR="001006D0" w:rsidRPr="00962996">
        <w:rPr>
          <w:rFonts w:ascii="Times New Roman" w:hAnsi="Times New Roman" w:cs="Times New Roman"/>
          <w:sz w:val="24"/>
          <w:szCs w:val="24"/>
          <w:lang w:val="en-US"/>
        </w:rPr>
        <w:t xml:space="preserve"> </w:t>
      </w:r>
      <w:r w:rsidR="007D2014" w:rsidRPr="00962996">
        <w:rPr>
          <w:rFonts w:ascii="Times New Roman" w:hAnsi="Times New Roman" w:cs="Times New Roman"/>
          <w:sz w:val="24"/>
          <w:szCs w:val="24"/>
          <w:lang w:val="en-US"/>
        </w:rPr>
        <w:t>found that there is a significant indirect effect of math anxiety on mathematics performance when adding working memory as a mediator variable.</w:t>
      </w:r>
    </w:p>
    <w:p w:rsidR="00393502"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Therefore, from the results of the study, an effective intervention in improving students' low math performance is by providing interventions that focus more on increasing math self-efficacy, rather than doing interventions that focus on math anxiety.</w:t>
      </w:r>
      <w:r w:rsidRPr="00962996">
        <w:rPr>
          <w:rFonts w:ascii="Times New Roman" w:hAnsi="Times New Roman" w:cs="Times New Roman"/>
          <w:sz w:val="24"/>
          <w:szCs w:val="24"/>
          <w:lang w:val="en-US"/>
        </w:rPr>
        <w:t xml:space="preserve"> One of the approaches that can be done to improve students' math self-efficacy is problem-based learning or brain-based learning approach. </w:t>
      </w:r>
      <w:r w:rsidR="00F2551C" w:rsidRPr="00962996">
        <w:rPr>
          <w:rFonts w:ascii="Times New Roman" w:hAnsi="Times New Roman" w:cs="Times New Roman"/>
          <w:sz w:val="24"/>
          <w:szCs w:val="24"/>
          <w:lang w:val="en-US"/>
        </w:rPr>
        <w:fldChar w:fldCharType="begin" w:fldLock="1"/>
      </w:r>
      <w:r w:rsidR="00F2551C" w:rsidRPr="00962996">
        <w:rPr>
          <w:rFonts w:ascii="Times New Roman" w:hAnsi="Times New Roman" w:cs="Times New Roman"/>
          <w:sz w:val="24"/>
          <w:szCs w:val="24"/>
          <w:lang w:val="en-US"/>
        </w:rPr>
        <w:instrText>ADDIN CSL_CITATION {"citationItems":[{"id":"ITEM-1","itemData":{"DOI":"10.29103/mjml.v1i1.679","ISSN":"2620-6315","abstract":"One of the important affective factors for students in mathematics learning is self-efficacy. The students should have high mathematics self-efficacy. So, it can support the success of learning process. The facts that indicated the low of students’ mathematics self-efficacy, encouraging the efforts to improve self-efficacy through the improvement of the learning process. One of them is by applying the problem based learning approach. This research was a classroom action research by applying problem based learning approach to improve students’ mathematics self-efficacy. The classroom action research was done in two cycles. Each cycle consists of planning, action, observation, and reflection. The findings of this research revealed that the problem based learning approach could improve student’s mathematics self-efficacy. At the end of the first cycle, the students’ mathematics self-efficacy was still in the medium category and increased at the end of the second cycle, which students’ mathematics self-efficacy has been in high category.","author":[{"dropping-particle":"","family":"Masitoh","given":"Lisda Fitriana","non-dropping-particle":"","parse-names":false,"suffix":""},{"dropping-particle":"","family":"Fitriyani","given":"Harina","non-dropping-particle":"","parse-names":false,"suffix":""}],"container-title":"Malikussaleh Journal of Mathematics Learning (MJML)","id":"ITEM-1","issue":"1","issued":{"date-parts":[["2018"]]},"page":"26-30","title":"Improving students’ mathematics self-efficacy through problem based learning","type":"article-journal","volume":"1"},"uris":["http://www.mendeley.com/documents/?uuid=e6684f36-6b08-4e53-9342-721a1e53fae8"]},{"id":"ITEM-2","itemData":{"DOI":"10.31004/cendekia.v7i1.1943","ISSN":"2614-3038","abstract":"Learning mathematics, affective factors are very important for students, one of these factors is self-efficacy. Students are required to have high mathematical self-efficacy. With this is expected to support the success of learning mathematics. There are facts that show low self-efficacy in learning mathematics, thus encouraging researchers to increase self-efficacy by improving the process of learning mathematics. The concrete effort that can be applied is to implement the PBL (PBL) approach. This research is classified as Classroom Action Research (CAR) by applying the Problem-Based Learning (PBL) approach to increase students' level of mathematics self-efficacy. In its implementation, Classroom Action Research (CAR) was conducted in two cycles. Each cycle consists of planning, action, observation, and reflection. In this study, it was found that the Problem-Based Learning (PBL) approach can increase students' self-efficacy in mathematics. At the end of the first cycle, students' mathematical self-efficacy was still in the middle category (medium) and at the end of the second cycle showed an increase in students' mathematical self-efficacy in the high category.","author":[{"dropping-particle":"","family":"Negara","given":"Fandy Puspita","non-dropping-particle":"","parse-names":false,"suffix":""},{"dropping-particle":"","family":"Abidin","given":"Zainal","non-dropping-particle":"","parse-names":false,"suffix":""},{"dropping-particle":"","family":"Faradiba","given":"Surya Sari","non-dropping-particle":"","parse-names":false,"suffix":""}],"container-title":"Jurnal Cendekia : Jurnal Pendidikan Matematika","id":"ITEM-2","issue":"1","issued":{"date-parts":[["2022"]]},"page":"455-466","title":"Meningkatkan self-efficacy matematika siswa melalui pembelajaran berbasis masalah","type":"article-journal","volume":"7"},"uris":["http://www.mendeley.com/documents/?uuid=f1a992df-cc89-4bc0-a885-9d3cc853c9e4"]},{"id":"ITEM-3","itemData":{"DOI":"10.33394/mpm.v8i2.3192","ISSN":"2338-3836","abstract":"This research was conducted because the students' self-efficacy in mathematics was still low. The Brain Based Learning approach is expected to be one of the solution. The aim of our research was to define the increasing in self-efficacy of students who received the Brain Based Learning (BBL) approach in mathematics. This is a quasi-experimental study with a nonequivalent control group design. The population of this study were all students of grade VII at a junior high school in Padang City. We used purposive sampling technique to select sample study. Instrument used in the data collection was a non- test (questionnaire). Questionnaires are used to measure students' mathematical self-efficacy.The indicators of self-efficacy were used for reconstruction of questionnaire. The self-efficacy questionnaire consists of 28 questionnaire items. The questionnaire was given before and after being given treatment. The treatment given was in the form of mathematics learning based on the BBL approach. Our study showed that the increase in self-efficacy of students who learned with the BBL approach learning is significantly better than learning with the conventional approach as a whole.","author":[{"dropping-particle":"","family":"Rusyda","given":"Nurul Afifah","non-dropping-particle":"","parse-names":false,"suffix":""},{"dropping-particle":"","family":"Suherman","given":"Suherman","non-dropping-particle":"","parse-names":false,"suffix":""},{"dropping-particle":"","family":"Suhendra","given":"Suhendra","non-dropping-particle":"","parse-names":false,"suffix":""},{"dropping-particle":"","family":"Rusdinal","given":"Rusdinal","non-dropping-particle":"","parse-names":false,"suffix":""}],"container-title":"Media Pendidikan Matematika","id":"ITEM-3","issue":"2","issued":{"date-parts":[["2020"]]},"page":"74-79","title":"Meningkatkan self-efficacy matematis peserta didik pada pembelajaran matematika melalui pendekatan brain based learning","type":"article-journal","volume":"8"},"uris":["http://www.mendeley.com/documents/?uuid=f0ee2fac-e443-4127-893e-9e947ec1ad77"]}],"mendeley":{"formattedCitation":"(Masitoh &amp; Fitriyani, 2018; Negara et al., 2022; Rusyda et al., 2020)","plainTextFormattedCitation":"(Masitoh &amp; Fitriyani, 2018; Negara et al., 2022; Rusyda et al., 2020)","previouslyFormattedCitation":"(Masitoh &amp; Fitriyani, 2018; Negara et al., 2022; Rusyda et al., 2020)"},"properties":{"noteIndex":0},"schema":"https://github.com/citation-style-language/schema/raw/master/csl-citation.json"}</w:instrText>
      </w:r>
      <w:r w:rsidR="00F2551C" w:rsidRPr="00962996">
        <w:rPr>
          <w:rFonts w:ascii="Times New Roman" w:hAnsi="Times New Roman" w:cs="Times New Roman"/>
          <w:sz w:val="24"/>
          <w:szCs w:val="24"/>
          <w:lang w:val="en-US"/>
        </w:rPr>
        <w:fldChar w:fldCharType="separate"/>
      </w:r>
      <w:r w:rsidR="00F2551C" w:rsidRPr="00962996">
        <w:rPr>
          <w:rFonts w:ascii="Times New Roman" w:hAnsi="Times New Roman" w:cs="Times New Roman"/>
          <w:noProof/>
          <w:sz w:val="24"/>
          <w:szCs w:val="24"/>
          <w:lang w:val="en-US"/>
        </w:rPr>
        <w:t>(Masitoh &amp; Fitriyani, 2018; Negara et al., 2022; Rusyda et al., 2020)</w:t>
      </w:r>
      <w:r w:rsidR="00F2551C"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w:t>
      </w:r>
    </w:p>
    <w:p w:rsidR="00393502" w:rsidRPr="00962996" w:rsidRDefault="00393502" w:rsidP="00962996">
      <w:pPr>
        <w:spacing w:after="0" w:line="240" w:lineRule="auto"/>
        <w:jc w:val="both"/>
        <w:rPr>
          <w:rFonts w:ascii="Times New Roman" w:hAnsi="Times New Roman" w:cs="Times New Roman"/>
          <w:sz w:val="24"/>
          <w:szCs w:val="24"/>
          <w:lang w:val="en-US"/>
        </w:rPr>
      </w:pPr>
    </w:p>
    <w:p w:rsidR="006B6578" w:rsidRPr="00962996" w:rsidRDefault="00000000" w:rsidP="00962996">
      <w:pPr>
        <w:spacing w:after="0" w:line="240" w:lineRule="auto"/>
        <w:jc w:val="both"/>
        <w:rPr>
          <w:rFonts w:ascii="Times New Roman" w:hAnsi="Times New Roman" w:cs="Times New Roman"/>
          <w:b/>
          <w:bCs/>
          <w:sz w:val="24"/>
          <w:szCs w:val="24"/>
          <w:lang w:val="en-US"/>
        </w:rPr>
      </w:pPr>
      <w:r w:rsidRPr="00962996">
        <w:rPr>
          <w:rFonts w:ascii="Times New Roman" w:hAnsi="Times New Roman" w:cs="Times New Roman"/>
          <w:b/>
          <w:bCs/>
          <w:sz w:val="24"/>
          <w:szCs w:val="24"/>
          <w:lang w:val="en-US"/>
        </w:rPr>
        <w:t>Limitation</w:t>
      </w:r>
    </w:p>
    <w:p w:rsidR="00393502"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rPr>
        <w:t>The study had some limitations. First, data collection is carried out quantitatively through self-report scales which tend to be influenced by social desirability bias</w:t>
      </w:r>
      <w:r w:rsidRPr="00962996">
        <w:rPr>
          <w:rFonts w:ascii="Times New Roman" w:hAnsi="Times New Roman" w:cs="Times New Roman"/>
          <w:sz w:val="24"/>
          <w:szCs w:val="24"/>
          <w:lang w:val="en-US"/>
        </w:rPr>
        <w:t xml:space="preserve">, so the data obtained is not deep and complex enough, </w:t>
      </w:r>
      <w:r w:rsidR="00343893" w:rsidRPr="00962996">
        <w:rPr>
          <w:rFonts w:ascii="Times New Roman" w:hAnsi="Times New Roman" w:cs="Times New Roman"/>
          <w:sz w:val="24"/>
          <w:szCs w:val="24"/>
          <w:lang w:val="en-US"/>
        </w:rPr>
        <w:t>especially to measure math anxiety can be obtained through observation.</w:t>
      </w:r>
      <w:r w:rsidRPr="00962996">
        <w:rPr>
          <w:rFonts w:ascii="Times New Roman" w:hAnsi="Times New Roman" w:cs="Times New Roman"/>
          <w:sz w:val="24"/>
          <w:szCs w:val="24"/>
          <w:lang w:val="en-US"/>
        </w:rPr>
        <w:t xml:space="preserve"> </w:t>
      </w:r>
      <w:r w:rsidR="00745586" w:rsidRPr="00962996">
        <w:rPr>
          <w:rFonts w:ascii="Times New Roman" w:hAnsi="Times New Roman" w:cs="Times New Roman"/>
          <w:sz w:val="24"/>
          <w:szCs w:val="24"/>
          <w:lang w:val="en-US"/>
        </w:rPr>
        <w:t>Second, the participants were limited to one school population, so these results may differ if conducted in a population with different characteristics</w:t>
      </w:r>
      <w:r w:rsidR="00F959E3" w:rsidRPr="00962996">
        <w:rPr>
          <w:rFonts w:ascii="Times New Roman" w:hAnsi="Times New Roman" w:cs="Times New Roman"/>
          <w:sz w:val="24"/>
          <w:szCs w:val="24"/>
          <w:lang w:val="en-US"/>
        </w:rPr>
        <w:t xml:space="preserve"> or with a more varied sample</w:t>
      </w:r>
      <w:r w:rsidR="00745586" w:rsidRPr="00962996">
        <w:rPr>
          <w:rFonts w:ascii="Times New Roman" w:hAnsi="Times New Roman" w:cs="Times New Roman"/>
          <w:sz w:val="24"/>
          <w:szCs w:val="24"/>
          <w:lang w:val="en-US"/>
        </w:rPr>
        <w:t xml:space="preserve"> </w:t>
      </w:r>
      <w:r w:rsidR="001C5DA9" w:rsidRPr="00962996">
        <w:rPr>
          <w:rFonts w:ascii="Times New Roman" w:hAnsi="Times New Roman" w:cs="Times New Roman"/>
          <w:sz w:val="24"/>
          <w:szCs w:val="24"/>
          <w:lang w:val="en-US"/>
        </w:rPr>
        <w:fldChar w:fldCharType="begin" w:fldLock="1"/>
      </w:r>
      <w:r w:rsidR="00F2551C" w:rsidRPr="00962996">
        <w:rPr>
          <w:rFonts w:ascii="Times New Roman" w:hAnsi="Times New Roman" w:cs="Times New Roman"/>
          <w:sz w:val="24"/>
          <w:szCs w:val="24"/>
          <w:lang w:val="en-US"/>
        </w:rPr>
        <w:instrText>ADDIN CSL_CITATION {"citationItems":[{"id":"ITEM-1","itemData":{"DOI":"10.3389/fpsyg.2019.01613","ISSN":"16641078","abstract":"Math anxiety (MA) has been suggested to decrease the math performance of students. However, it remains unclear what factors moderate this relationship. The aim of this research was to explore the link between MA and math performance. Studies that explored the math anxiety-performance link, conducted from 2000 to 2019 (84 samples, N = 8680), were identified and statistically integrated with a meta-analysis method. The results indicated a robust negative math anxiety-performance link. Furthermore, regarding the analysis of moderator variables, this negative link was stronger in the studies that involved Asian students, but this link was the weakest in the studies that involved European students. Moreover, this negative link was stronger in the studies within a senior high school group, whereas it was the weakest in the studies within an elementary group. Finally, this negative link was strongest among studies that used a custom test and studies that assessed problem-solving skills. Potential explanations and implications for research and practice are discussed.","author":[{"dropping-particle":"","family":"Zhang","given":"Jing","non-dropping-particle":"","parse-names":false,"suffix":""},{"dropping-particle":"","family":"Zhao","given":"Nan","non-dropping-particle":"","parse-names":false,"suffix":""},{"dropping-particle":"","family":"Kong","given":"Qi Ping","non-dropping-particle":"","parse-names":false,"suffix":""}],"container-title":"Frontiers in Psychology","id":"ITEM-1","issue":"1613","issued":{"date-parts":[["2019"]]},"page":"1-17","title":"The relationship between math anxiety and math performance: A meta-analytic investigation","type":"article-journal","volume":"10"},"uris":["http://www.mendeley.com/documents/?uuid=d6cfa51b-062a-46af-b469-3c15599d8403"]}],"mendeley":{"formattedCitation":"(J. Zhang et al., 2019)","plainTextFormattedCitation":"(J. Zhang et al., 2019)","previouslyFormattedCitation":"(J. Zhang et al., 2019)"},"properties":{"noteIndex":0},"schema":"https://github.com/citation-style-language/schema/raw/master/csl-citation.json"}</w:instrText>
      </w:r>
      <w:r w:rsidR="001C5DA9" w:rsidRPr="00962996">
        <w:rPr>
          <w:rFonts w:ascii="Times New Roman" w:hAnsi="Times New Roman" w:cs="Times New Roman"/>
          <w:sz w:val="24"/>
          <w:szCs w:val="24"/>
          <w:lang w:val="en-US"/>
        </w:rPr>
        <w:fldChar w:fldCharType="separate"/>
      </w:r>
      <w:r w:rsidR="001C5DA9" w:rsidRPr="00962996">
        <w:rPr>
          <w:rFonts w:ascii="Times New Roman" w:hAnsi="Times New Roman" w:cs="Times New Roman"/>
          <w:noProof/>
          <w:sz w:val="24"/>
          <w:szCs w:val="24"/>
          <w:lang w:val="en-US"/>
        </w:rPr>
        <w:t>(J. Zhang et al., 2019)</w:t>
      </w:r>
      <w:r w:rsidR="001C5DA9" w:rsidRPr="00962996">
        <w:rPr>
          <w:rFonts w:ascii="Times New Roman" w:hAnsi="Times New Roman" w:cs="Times New Roman"/>
          <w:sz w:val="24"/>
          <w:szCs w:val="24"/>
          <w:lang w:val="en-US"/>
        </w:rPr>
        <w:fldChar w:fldCharType="end"/>
      </w:r>
      <w:r w:rsidRPr="00962996">
        <w:rPr>
          <w:rFonts w:ascii="Times New Roman" w:hAnsi="Times New Roman" w:cs="Times New Roman"/>
          <w:sz w:val="24"/>
          <w:szCs w:val="24"/>
          <w:lang w:val="en-US"/>
        </w:rPr>
        <w:t xml:space="preserve">. </w:t>
      </w:r>
    </w:p>
    <w:p w:rsidR="00F2315B"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Third, </w:t>
      </w:r>
      <w:r w:rsidR="004D397F" w:rsidRPr="00962996">
        <w:rPr>
          <w:rFonts w:ascii="Times New Roman" w:hAnsi="Times New Roman" w:cs="Times New Roman"/>
          <w:sz w:val="24"/>
          <w:szCs w:val="24"/>
          <w:lang w:val="en-US"/>
        </w:rPr>
        <w:t>the studied independent and moderator variable in this research</w:t>
      </w:r>
      <w:r w:rsidRPr="00962996">
        <w:rPr>
          <w:rFonts w:ascii="Times New Roman" w:hAnsi="Times New Roman" w:cs="Times New Roman"/>
          <w:sz w:val="24"/>
          <w:szCs w:val="24"/>
          <w:lang w:val="en-US"/>
        </w:rPr>
        <w:t xml:space="preserve"> </w:t>
      </w:r>
      <w:r w:rsidR="004D397F" w:rsidRPr="00962996">
        <w:rPr>
          <w:rFonts w:ascii="Times New Roman" w:hAnsi="Times New Roman" w:cs="Times New Roman"/>
          <w:sz w:val="24"/>
          <w:szCs w:val="24"/>
          <w:lang w:val="en-US"/>
        </w:rPr>
        <w:t xml:space="preserve">(i.e. </w:t>
      </w:r>
      <w:r w:rsidRPr="00962996">
        <w:rPr>
          <w:rFonts w:ascii="Times New Roman" w:hAnsi="Times New Roman" w:cs="Times New Roman"/>
          <w:sz w:val="24"/>
          <w:szCs w:val="24"/>
          <w:lang w:val="en-US"/>
        </w:rPr>
        <w:t>math anxiety and math self-efficacy</w:t>
      </w:r>
      <w:r w:rsidR="004D397F" w:rsidRPr="00962996">
        <w:rPr>
          <w:rFonts w:ascii="Times New Roman" w:hAnsi="Times New Roman" w:cs="Times New Roman"/>
          <w:sz w:val="24"/>
          <w:szCs w:val="24"/>
          <w:lang w:val="en-US"/>
        </w:rPr>
        <w:t>)</w:t>
      </w:r>
      <w:r w:rsidRPr="00962996">
        <w:rPr>
          <w:rFonts w:ascii="Times New Roman" w:hAnsi="Times New Roman" w:cs="Times New Roman"/>
          <w:sz w:val="24"/>
          <w:szCs w:val="24"/>
          <w:lang w:val="en-US"/>
        </w:rPr>
        <w:t xml:space="preserve"> are both included in the internal factors that can affect math performance, </w:t>
      </w:r>
      <w:r w:rsidR="004D397F" w:rsidRPr="00962996">
        <w:rPr>
          <w:rFonts w:ascii="Times New Roman" w:hAnsi="Times New Roman" w:cs="Times New Roman"/>
          <w:sz w:val="24"/>
          <w:szCs w:val="24"/>
          <w:lang w:val="en-US"/>
        </w:rPr>
        <w:t>So this research is limited to the internal factors that affect math performance</w:t>
      </w:r>
      <w:r w:rsidRPr="00962996">
        <w:rPr>
          <w:rFonts w:ascii="Times New Roman" w:hAnsi="Times New Roman" w:cs="Times New Roman"/>
          <w:sz w:val="24"/>
          <w:szCs w:val="24"/>
          <w:lang w:val="en-US"/>
        </w:rPr>
        <w:t>.</w:t>
      </w:r>
      <w:r w:rsidR="00393502" w:rsidRPr="00962996">
        <w:rPr>
          <w:rFonts w:ascii="Times New Roman" w:hAnsi="Times New Roman" w:cs="Times New Roman"/>
          <w:sz w:val="24"/>
          <w:szCs w:val="24"/>
          <w:lang w:val="en-US"/>
        </w:rPr>
        <w:t xml:space="preserve"> </w:t>
      </w:r>
      <w:r w:rsidR="00F844FC" w:rsidRPr="00962996">
        <w:rPr>
          <w:rFonts w:ascii="Times New Roman" w:hAnsi="Times New Roman" w:cs="Times New Roman"/>
          <w:sz w:val="24"/>
          <w:szCs w:val="24"/>
          <w:lang w:val="en-US"/>
        </w:rPr>
        <w:t xml:space="preserve">Therefore, perhaps future research can explore the dynamics of the relationship between variables that become external factors in influencing students' mathematics performance, such as parental </w:t>
      </w:r>
      <w:r w:rsidR="00F2551C" w:rsidRPr="00962996">
        <w:rPr>
          <w:rFonts w:ascii="Times New Roman" w:hAnsi="Times New Roman" w:cs="Times New Roman"/>
          <w:sz w:val="24"/>
          <w:szCs w:val="24"/>
          <w:lang w:val="en-US"/>
        </w:rPr>
        <w:t xml:space="preserve">and teachers' </w:t>
      </w:r>
      <w:r w:rsidR="00F844FC" w:rsidRPr="00962996">
        <w:rPr>
          <w:rFonts w:ascii="Times New Roman" w:hAnsi="Times New Roman" w:cs="Times New Roman"/>
          <w:sz w:val="24"/>
          <w:szCs w:val="24"/>
          <w:lang w:val="en-US"/>
        </w:rPr>
        <w:t xml:space="preserve">social support </w:t>
      </w:r>
      <w:r w:rsidR="00F2551C" w:rsidRPr="00962996">
        <w:rPr>
          <w:rFonts w:ascii="Times New Roman" w:hAnsi="Times New Roman" w:cs="Times New Roman"/>
          <w:sz w:val="24"/>
          <w:szCs w:val="24"/>
          <w:lang w:val="en-US"/>
        </w:rPr>
        <w:fldChar w:fldCharType="begin" w:fldLock="1"/>
      </w:r>
      <w:r w:rsidR="00F2551C" w:rsidRPr="00962996">
        <w:rPr>
          <w:rFonts w:ascii="Times New Roman" w:hAnsi="Times New Roman" w:cs="Times New Roman"/>
          <w:sz w:val="24"/>
          <w:szCs w:val="24"/>
          <w:lang w:val="en-US"/>
        </w:rPr>
        <w:instrText>ADDIN CSL_CITATION {"citationItems":[{"id":"ITEM-1","itemData":{"DOI":"10.21831/jrpm.v6i1.15246","ISSN":"2356-2684","abstract":"This research aimed to describe the effect of parental involvement, teacher behavior, learning motivation on students’ mathematics achievement in grade X of Junior High School. This research was ex post facto research. The population was grade X students of SMA Negeri 4 Yogyakarta, Indonesia in the 2016/2017 academic year. The sample of 121 students was established using the simple random sampling technique. The data were collected through documents study of students’ mathematics achievement results and using a questionnaire that had been proven its validity and estimated its reliability. The data analysis technique used is linear and multiple regression. The research finding shows that (1) there is a positive and significant effect of each variable namely parental involvement, teacher behavior, learning motivation on mathematics achievement of grade X students of SMA Negeri 4 Yogyakarta; and (2) parental involvement, teacher behavior, and learning motivation simultaneously provide a positive and significant effect on mathematics achievement of grade X students of SMA Negeri 4 Yogyakarta. This","author":[{"dropping-particle":"","family":"Fane","given":"Abdoulaye","non-dropping-particle":"","parse-names":false,"suffix":""},{"dropping-particle":"","family":"Sugito","given":"Sugito","non-dropping-particle":"","parse-names":false,"suffix":""}],"container-title":"Jurnal Riset Pendidikan Matematika","id":"ITEM-1","issue":"1","issued":{"date-parts":[["2019"]]},"page":"53-61","title":"Pengaruh keterlibatan orang tua, perilaku guru, dan motivasi belajar terhadap prestasi belajar matematika siswa","type":"article-journal","volume":"6"},"uris":["http://www.mendeley.com/documents/?uuid=58b3414d-6571-46df-b53d-ef3911bba089"]},{"id":"ITEM-2","itemData":{"DOI":"10.24036/011068980","ISSN":"2302-898X","abstract":"This study to determine the effect of parental social support on class VIII student achievement in social studies subjects at SMP Angkasa Halim Perdana Kusuma, East Jakarta.The research method used is to use an associative quantitative method. The techniques of taking sample using random sampling with a sample of 68 students in Angkasa Junior High School Halim Perdana Kusuma in East Jakarta. The data used is the regression correlation analysis. It’s can be seen from the calculation of simple ANOVA. Significant correlation coefficient tests were obtained from the model summary table.This means Ho is rejected. While the correlation coefficient of determination from the model summary table namely R square = 0.990 which means that 99 % of the variation in the social studies achievement variable is influenced by social support from parents. From analysis results is HO rejected. Thus \"parents' social support has a positive result on reading achievement\".","author":[{"dropping-particle":"","family":"Putrie","given":"Chientya Annisa Rahman","non-dropping-particle":"","parse-names":false,"suffix":""},{"dropping-particle":"","family":"Fauzia","given":"Muhammad","non-dropping-particle":"","parse-names":false,"suffix":""}],"container-title":"Jurnal Inovasi Pendidikan Ekonomi (JIPE)","id":"ITEM-2","issue":"2","issued":{"date-parts":[["2019"]]},"page":"177-182","title":"Pengaruh dukungan sosial orang tua terhadap prestasi belajar siswa smp angkasa halim perdana kusuma jakarta timur","type":"article-journal","volume":"9"},"uris":["http://www.mendeley.com/documents/?uuid=6b6bebf4-6a39-494f-b536-819511453ee7"]},{"id":"ITEM-3","itemData":{"DOI":"10.30822/asimtot.v1i1.100","ISSN":"2685-9009","abstract":"This study aims to determine the effect of self-efficacy and teacher social support on mathematics learning achievement of class VII students of one of the Private SMP in Kupang city social arithmetic material. The type of research used is quantitative with the statistical analysis used in this study, namely multiple regression analysis. The sample in this study is class VII A, amounting to 25 people randomly selected from 4 existing classes. The type of data in this research is primary data with data collection used, namely questionnaires and achievement test questions. Technical data analysis in this study used multiple regression analysis. Based on the partial test results on self efficacy showed that = 3.164&gt; 1.71 = , teacher social support obtained = 2.954&gt; 1.71 = , then with a significant level of 5% there is a partial effect on self-efficacy and social support teacher. Furthermore, the simultaneous test shows that = 55,176 and at a significant level of 5% which means that = 55,176 &gt; 3,44 = , then there is a simultaneous influence on teacher self-efficacy and social support . So, it was found that self-efficacy and social support of teachers had a significant influence on mathematics learning achievement both partially and simultaneously. Thus, it was concluded that there was an effect of teacher self-efficacy and social support on students' mathematics learning achievement. The coefficient of determination (R Square) = 0.834. This means that 83.40% of the variation in mathematics learning achievement can be explained by variations in the two variables, namely self-efficacy and teacher social support. Meanwhile, 16.60% is influenced by other variables.","author":[{"dropping-particle":"","family":"Uran","given":"Apolonia Letekina","non-dropping-particle":"","parse-names":false,"suffix":""},{"dropping-particle":"","family":"Leton","given":"Samuel Igo","non-dropping-particle":"","parse-names":false,"suffix":""},{"dropping-particle":"","family":"Uskono","given":"Irmina Veronika","non-dropping-particle":"","parse-names":false,"suffix":""}],"container-title":"Asimtot : Jurnal Kependidikan Matematika","id":"ITEM-3","issue":"1","issued":{"date-parts":[["2019"]]},"page":"69-76","title":"Pengaruh efikasi diri dan dukungan sosial guru terhadap prestasi belajar matematika siswa","type":"article-journal","volume":"1"},"uris":["http://www.mendeley.com/documents/?uuid=ba8f91bd-273d-44a2-b31d-20c4c870cff9"]}],"mendeley":{"formattedCitation":"(Fane &amp; Sugito, 2019; Putrie &amp; Fauzia, 2019; Uran et al., 2019)","plainTextFormattedCitation":"(Fane &amp; Sugito, 2019; Putrie &amp; Fauzia, 2019; Uran et al., 2019)","previouslyFormattedCitation":"(Fane &amp; Sugito, 2019; Putrie &amp; Fauzia, 2019; Uran et al., 2019)"},"properties":{"noteIndex":0},"schema":"https://github.com/citation-style-language/schema/raw/master/csl-citation.json"}</w:instrText>
      </w:r>
      <w:r w:rsidR="00F2551C" w:rsidRPr="00962996">
        <w:rPr>
          <w:rFonts w:ascii="Times New Roman" w:hAnsi="Times New Roman" w:cs="Times New Roman"/>
          <w:sz w:val="24"/>
          <w:szCs w:val="24"/>
          <w:lang w:val="en-US"/>
        </w:rPr>
        <w:fldChar w:fldCharType="separate"/>
      </w:r>
      <w:r w:rsidR="00F2551C" w:rsidRPr="00962996">
        <w:rPr>
          <w:rFonts w:ascii="Times New Roman" w:hAnsi="Times New Roman" w:cs="Times New Roman"/>
          <w:noProof/>
          <w:sz w:val="24"/>
          <w:szCs w:val="24"/>
          <w:lang w:val="en-US"/>
        </w:rPr>
        <w:t>(Fane &amp; Sugito, 2019; Putrie &amp; Fauzia, 2019; Uran et al., 2019)</w:t>
      </w:r>
      <w:r w:rsidR="00F2551C" w:rsidRPr="00962996">
        <w:rPr>
          <w:rFonts w:ascii="Times New Roman" w:hAnsi="Times New Roman" w:cs="Times New Roman"/>
          <w:sz w:val="24"/>
          <w:szCs w:val="24"/>
          <w:lang w:val="en-US"/>
        </w:rPr>
        <w:fldChar w:fldCharType="end"/>
      </w:r>
      <w:r w:rsidR="00393502" w:rsidRPr="00962996">
        <w:rPr>
          <w:rFonts w:ascii="Times New Roman" w:hAnsi="Times New Roman" w:cs="Times New Roman"/>
          <w:sz w:val="24"/>
          <w:szCs w:val="24"/>
          <w:lang w:val="en-US"/>
        </w:rPr>
        <w:t>.</w:t>
      </w:r>
    </w:p>
    <w:p w:rsidR="00F2315B" w:rsidRPr="00962996" w:rsidRDefault="00F2315B" w:rsidP="00962996">
      <w:pPr>
        <w:spacing w:after="0" w:line="240" w:lineRule="auto"/>
        <w:jc w:val="both"/>
        <w:rPr>
          <w:rFonts w:ascii="Times New Roman" w:hAnsi="Times New Roman" w:cs="Times New Roman"/>
          <w:sz w:val="24"/>
          <w:szCs w:val="24"/>
          <w:lang w:val="en-US"/>
        </w:rPr>
      </w:pPr>
    </w:p>
    <w:p w:rsidR="00DC30F6"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Conclusion</w:t>
      </w:r>
    </w:p>
    <w:p w:rsidR="00A45E3F"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t xml:space="preserve">The results of this study show that math anxiety has no relationship with students' </w:t>
      </w:r>
      <w:r w:rsidRPr="00962996">
        <w:rPr>
          <w:rFonts w:ascii="Times New Roman" w:hAnsi="Times New Roman" w:cs="Times New Roman"/>
          <w:sz w:val="24"/>
          <w:szCs w:val="24"/>
          <w:lang w:val="en-US"/>
        </w:rPr>
        <w:t>mathematics performance</w:t>
      </w:r>
      <w:r w:rsidRPr="00962996">
        <w:rPr>
          <w:rFonts w:ascii="Times New Roman" w:hAnsi="Times New Roman" w:cs="Times New Roman"/>
          <w:sz w:val="24"/>
          <w:szCs w:val="24"/>
        </w:rPr>
        <w:t xml:space="preserve">. Furthermore, there is a significant negative relationship between math anxiety and math self-efficacy. And there is a significant positive relationship between math self-efficacy and math achievement. The results also show whether there is a fully mediating role </w:t>
      </w:r>
      <w:r w:rsidRPr="00962996">
        <w:rPr>
          <w:rFonts w:ascii="Times New Roman" w:hAnsi="Times New Roman" w:cs="Times New Roman"/>
          <w:sz w:val="24"/>
          <w:szCs w:val="24"/>
        </w:rPr>
        <w:lastRenderedPageBreak/>
        <w:t>of math self-efficacy on the influence between math anxiety and math</w:t>
      </w:r>
      <w:r w:rsidRPr="00962996">
        <w:rPr>
          <w:rFonts w:ascii="Times New Roman" w:hAnsi="Times New Roman" w:cs="Times New Roman"/>
          <w:sz w:val="24"/>
          <w:szCs w:val="24"/>
          <w:lang w:val="en-US"/>
        </w:rPr>
        <w:t>ematics</w:t>
      </w:r>
      <w:r w:rsidRPr="00962996">
        <w:rPr>
          <w:rFonts w:ascii="Times New Roman" w:hAnsi="Times New Roman" w:cs="Times New Roman"/>
          <w:sz w:val="24"/>
          <w:szCs w:val="24"/>
        </w:rPr>
        <w:t xml:space="preserve"> performance. Where any increase in math self-efficacy can reduce students' math anxiety and make students' mathematics performance increase. </w:t>
      </w:r>
    </w:p>
    <w:p w:rsidR="005F502D" w:rsidRPr="00962996" w:rsidRDefault="00000000" w:rsidP="00962996">
      <w:pPr>
        <w:spacing w:after="0" w:line="240" w:lineRule="auto"/>
        <w:jc w:val="both"/>
        <w:rPr>
          <w:rFonts w:ascii="Times New Roman" w:hAnsi="Times New Roman" w:cs="Times New Roman"/>
          <w:sz w:val="24"/>
          <w:szCs w:val="24"/>
        </w:rPr>
      </w:pPr>
      <w:r w:rsidRPr="00962996">
        <w:rPr>
          <w:rFonts w:ascii="Times New Roman" w:hAnsi="Times New Roman" w:cs="Times New Roman"/>
          <w:sz w:val="24"/>
          <w:szCs w:val="24"/>
        </w:rPr>
        <w:t>Therefore, to improve students' mathematics performance, it can be effectively done by conducting interventions that focus on increasing students' mathematics self-efficacy, such as conducting problem-based learning or conducting mathematics learning with a brain-based learning approach.</w:t>
      </w:r>
    </w:p>
    <w:p w:rsidR="003F134B" w:rsidRPr="00962996" w:rsidRDefault="003F134B" w:rsidP="00962996">
      <w:pPr>
        <w:spacing w:after="0" w:line="240" w:lineRule="auto"/>
        <w:jc w:val="both"/>
        <w:rPr>
          <w:rFonts w:ascii="Times New Roman" w:hAnsi="Times New Roman" w:cs="Times New Roman"/>
          <w:b/>
          <w:bCs/>
          <w:sz w:val="24"/>
          <w:szCs w:val="24"/>
        </w:rPr>
      </w:pPr>
    </w:p>
    <w:p w:rsidR="00845E8D" w:rsidRPr="00962996" w:rsidRDefault="00000000" w:rsidP="00962996">
      <w:pPr>
        <w:spacing w:after="0" w:line="240" w:lineRule="auto"/>
        <w:jc w:val="both"/>
        <w:rPr>
          <w:rFonts w:ascii="Times New Roman" w:hAnsi="Times New Roman" w:cs="Times New Roman"/>
          <w:sz w:val="28"/>
          <w:szCs w:val="28"/>
          <w:lang w:val="en-US"/>
        </w:rPr>
      </w:pPr>
      <w:r w:rsidRPr="00962996">
        <w:rPr>
          <w:rFonts w:ascii="Times New Roman" w:hAnsi="Times New Roman" w:cs="Times New Roman"/>
          <w:b/>
          <w:bCs/>
          <w:sz w:val="28"/>
          <w:szCs w:val="28"/>
          <w:lang w:val="en-US"/>
        </w:rPr>
        <w:t>Acknowledgment</w:t>
      </w:r>
      <w:r w:rsidRPr="00962996">
        <w:rPr>
          <w:rFonts w:ascii="Times New Roman" w:hAnsi="Times New Roman" w:cs="Times New Roman"/>
          <w:sz w:val="28"/>
          <w:szCs w:val="28"/>
          <w:lang w:val="en-US"/>
        </w:rPr>
        <w:t xml:space="preserve"> </w:t>
      </w:r>
    </w:p>
    <w:p w:rsidR="00845E8D"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 xml:space="preserve">The author gratefully acknowledges Lara </w:t>
      </w:r>
      <w:r w:rsidRPr="00962996">
        <w:rPr>
          <w:rFonts w:ascii="Times New Roman" w:hAnsi="Times New Roman" w:cs="Times New Roman"/>
          <w:sz w:val="24"/>
          <w:szCs w:val="24"/>
        </w:rPr>
        <w:t>Yáñez-Marquina</w:t>
      </w:r>
      <w:r w:rsidRPr="00962996">
        <w:rPr>
          <w:rFonts w:ascii="Times New Roman" w:hAnsi="Times New Roman" w:cs="Times New Roman"/>
          <w:sz w:val="24"/>
          <w:szCs w:val="24"/>
          <w:lang w:val="en-US"/>
        </w:rPr>
        <w:t xml:space="preserve"> for the permission to use the </w:t>
      </w:r>
      <w:r w:rsidRPr="00962996">
        <w:rPr>
          <w:rFonts w:ascii="Times New Roman" w:hAnsi="Times New Roman" w:cs="Times New Roman"/>
          <w:sz w:val="24"/>
          <w:szCs w:val="24"/>
        </w:rPr>
        <w:t>Scale for Assessing Math Anxiety in Secondary Education (SAMAS)</w:t>
      </w:r>
      <w:r w:rsidRPr="00962996">
        <w:rPr>
          <w:rFonts w:ascii="Times New Roman" w:hAnsi="Times New Roman" w:cs="Times New Roman"/>
          <w:sz w:val="24"/>
          <w:szCs w:val="24"/>
          <w:lang w:val="en-US"/>
        </w:rPr>
        <w:t xml:space="preserve"> and also Kemas Rahmat Mubarrak for the permission to use </w:t>
      </w:r>
      <w:r w:rsidRPr="00962996">
        <w:rPr>
          <w:rFonts w:ascii="Times New Roman" w:hAnsi="Times New Roman" w:cs="Times New Roman"/>
          <w:sz w:val="24"/>
          <w:szCs w:val="24"/>
        </w:rPr>
        <w:t>Alat Ukur Efikasi Matematika Indonesia (AUKEMI)</w:t>
      </w:r>
      <w:r w:rsidRPr="00962996">
        <w:rPr>
          <w:rFonts w:ascii="Times New Roman" w:hAnsi="Times New Roman" w:cs="Times New Roman"/>
          <w:sz w:val="24"/>
          <w:szCs w:val="24"/>
          <w:lang w:val="en-US"/>
        </w:rPr>
        <w:t xml:space="preserve"> for measuring math self-efficacy.</w:t>
      </w:r>
      <w:r w:rsidR="00C51195" w:rsidRPr="00962996">
        <w:rPr>
          <w:rFonts w:ascii="Times New Roman" w:hAnsi="Times New Roman" w:cs="Times New Roman"/>
          <w:sz w:val="24"/>
          <w:szCs w:val="24"/>
          <w:lang w:val="en-US"/>
        </w:rPr>
        <w:t xml:space="preserve"> The author wishes to thank the teachers and students of MTs Nurul Huda Sedati who were involved in the data collection for this study.</w:t>
      </w:r>
    </w:p>
    <w:p w:rsidR="00845E8D" w:rsidRPr="00962996" w:rsidRDefault="00845E8D" w:rsidP="00962996">
      <w:pPr>
        <w:spacing w:after="0" w:line="240" w:lineRule="auto"/>
        <w:jc w:val="both"/>
        <w:rPr>
          <w:rFonts w:ascii="Times New Roman" w:hAnsi="Times New Roman" w:cs="Times New Roman"/>
          <w:b/>
          <w:bCs/>
          <w:sz w:val="28"/>
          <w:szCs w:val="28"/>
          <w:lang w:val="en-US"/>
        </w:rPr>
      </w:pPr>
    </w:p>
    <w:p w:rsidR="00DC30F6" w:rsidRPr="00962996" w:rsidRDefault="00000000" w:rsidP="00962996">
      <w:pPr>
        <w:spacing w:after="0" w:line="240" w:lineRule="auto"/>
        <w:jc w:val="both"/>
        <w:rPr>
          <w:rFonts w:ascii="Times New Roman" w:hAnsi="Times New Roman" w:cs="Times New Roman"/>
          <w:b/>
          <w:bCs/>
          <w:sz w:val="28"/>
          <w:szCs w:val="28"/>
          <w:lang w:val="en-US"/>
        </w:rPr>
      </w:pPr>
      <w:r w:rsidRPr="00962996">
        <w:rPr>
          <w:rFonts w:ascii="Times New Roman" w:hAnsi="Times New Roman" w:cs="Times New Roman"/>
          <w:b/>
          <w:bCs/>
          <w:sz w:val="28"/>
          <w:szCs w:val="28"/>
          <w:lang w:val="en-US"/>
        </w:rPr>
        <w:t>References</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sz w:val="24"/>
          <w:szCs w:val="24"/>
          <w:lang w:val="en-US"/>
        </w:rPr>
        <w:fldChar w:fldCharType="begin" w:fldLock="1"/>
      </w:r>
      <w:r w:rsidRPr="00962996">
        <w:rPr>
          <w:rFonts w:ascii="Times New Roman" w:hAnsi="Times New Roman" w:cs="Times New Roman"/>
          <w:sz w:val="24"/>
          <w:szCs w:val="24"/>
          <w:lang w:val="en-US"/>
        </w:rPr>
        <w:instrText xml:space="preserve">ADDIN Mendeley Bibliography CSL_BIBLIOGRAPHY </w:instrText>
      </w:r>
      <w:r w:rsidRPr="00962996">
        <w:rPr>
          <w:rFonts w:ascii="Times New Roman" w:hAnsi="Times New Roman" w:cs="Times New Roman"/>
          <w:sz w:val="24"/>
          <w:szCs w:val="24"/>
          <w:lang w:val="en-US"/>
        </w:rPr>
        <w:fldChar w:fldCharType="separate"/>
      </w:r>
      <w:r w:rsidRPr="00962996">
        <w:rPr>
          <w:rFonts w:ascii="Times New Roman" w:hAnsi="Times New Roman" w:cs="Times New Roman"/>
          <w:noProof/>
          <w:sz w:val="24"/>
          <w:szCs w:val="24"/>
        </w:rPr>
        <w:t xml:space="preserve">Ardiansyah, A. (2018). Penguasaan konsep matematika ditinjau dari efikasi diri dan kemandirian belajar. </w:t>
      </w:r>
      <w:r w:rsidRPr="00962996">
        <w:rPr>
          <w:rFonts w:ascii="Times New Roman" w:hAnsi="Times New Roman" w:cs="Times New Roman"/>
          <w:i/>
          <w:iCs/>
          <w:noProof/>
          <w:sz w:val="24"/>
          <w:szCs w:val="24"/>
        </w:rPr>
        <w:t>Alfarisi: Jurnal Pendidikan MIPA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w:t>
      </w:r>
      <w:r w:rsidRPr="00962996">
        <w:rPr>
          <w:rFonts w:ascii="Times New Roman" w:hAnsi="Times New Roman" w:cs="Times New Roman"/>
          <w:noProof/>
          <w:sz w:val="24"/>
          <w:szCs w:val="24"/>
        </w:rPr>
        <w:t>(1), 1–8. https://journal.lppmunindra.ac.id/index.php/alfarisi/article/view/2886</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Ashcraft, M. H. (2002). Math anxiety: Personal, educational, and cognitive consequences. </w:t>
      </w:r>
      <w:r w:rsidRPr="00962996">
        <w:rPr>
          <w:rFonts w:ascii="Times New Roman" w:hAnsi="Times New Roman" w:cs="Times New Roman"/>
          <w:i/>
          <w:iCs/>
          <w:noProof/>
          <w:sz w:val="24"/>
          <w:szCs w:val="24"/>
        </w:rPr>
        <w:t>Current Directions in Psychological Science</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11</w:t>
      </w:r>
      <w:r w:rsidRPr="00962996">
        <w:rPr>
          <w:rFonts w:ascii="Times New Roman" w:hAnsi="Times New Roman" w:cs="Times New Roman"/>
          <w:noProof/>
          <w:sz w:val="24"/>
          <w:szCs w:val="24"/>
        </w:rPr>
        <w:t>(5), 181–185. https://doi.org/10.1111/1467-8721.00196</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Avvisati, F., Echazarra, A., Givord, P., &amp; Schwabe, M. (2019). Indonesia - Country Note - PISA 2018 Results. In </w:t>
      </w:r>
      <w:r w:rsidRPr="00962996">
        <w:rPr>
          <w:rFonts w:ascii="Times New Roman" w:hAnsi="Times New Roman" w:cs="Times New Roman"/>
          <w:i/>
          <w:iCs/>
          <w:noProof/>
          <w:sz w:val="24"/>
          <w:szCs w:val="24"/>
        </w:rPr>
        <w:t>OECD Publishing</w:t>
      </w:r>
      <w:r w:rsidRPr="00962996">
        <w:rPr>
          <w:rFonts w:ascii="Times New Roman" w:hAnsi="Times New Roman" w:cs="Times New Roman"/>
          <w:noProof/>
          <w:sz w:val="24"/>
          <w:szCs w:val="24"/>
        </w:rPr>
        <w:t xml:space="preserve"> (Vol. 1, Issue 3). https://gpseducation.oecd.org/CountryProfile?primaryCountry=IDN&amp;treshold=10&amp;topic=PI</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Bandura, A., Freeman, W. H., &amp; Lightsey, R. (1999). </w:t>
      </w:r>
      <w:r w:rsidRPr="00962996">
        <w:rPr>
          <w:rFonts w:ascii="Times New Roman" w:hAnsi="Times New Roman" w:cs="Times New Roman"/>
          <w:i/>
          <w:iCs/>
          <w:noProof/>
          <w:sz w:val="24"/>
          <w:szCs w:val="24"/>
        </w:rPr>
        <w:t>Self-efficacy: The exercise of control</w:t>
      </w:r>
      <w:r w:rsidRPr="00962996">
        <w:rPr>
          <w:rFonts w:ascii="Times New Roman" w:hAnsi="Times New Roman" w:cs="Times New Roman"/>
          <w:noProof/>
          <w:sz w:val="24"/>
          <w:szCs w:val="24"/>
        </w:rPr>
        <w:t>. Springer.</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Berliana, C., &amp; Adirakasiwi, A. G. (2021). Pengaruh mathematics anxiety terhadap hasil belajar matematika siswa smp di masa pandemi covid-19. </w:t>
      </w:r>
      <w:r w:rsidRPr="00962996">
        <w:rPr>
          <w:rFonts w:ascii="Times New Roman" w:hAnsi="Times New Roman" w:cs="Times New Roman"/>
          <w:i/>
          <w:iCs/>
          <w:noProof/>
          <w:sz w:val="24"/>
          <w:szCs w:val="24"/>
        </w:rPr>
        <w:t>Jurnal Cendekia: Jurnal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5</w:t>
      </w:r>
      <w:r w:rsidRPr="00962996">
        <w:rPr>
          <w:rFonts w:ascii="Times New Roman" w:hAnsi="Times New Roman" w:cs="Times New Roman"/>
          <w:noProof/>
          <w:sz w:val="24"/>
          <w:szCs w:val="24"/>
        </w:rPr>
        <w:t>(3), 2628–2635. https://j-cup.org/index.php/cendekia/article/view/919/459</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Chandra, T., &amp; Royanto, L. R. M. (2019). Pengaruh math self-efficacy dan math anxiety terhadap performansi matematika pada siswa kelas v sd. </w:t>
      </w:r>
      <w:r w:rsidRPr="00962996">
        <w:rPr>
          <w:rFonts w:ascii="Times New Roman" w:hAnsi="Times New Roman" w:cs="Times New Roman"/>
          <w:i/>
          <w:iCs/>
          <w:noProof/>
          <w:sz w:val="24"/>
          <w:szCs w:val="24"/>
        </w:rPr>
        <w:t>Jurnal Magister Psikologi UMA (ANALITIKA)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11</w:t>
      </w:r>
      <w:r w:rsidRPr="00962996">
        <w:rPr>
          <w:rFonts w:ascii="Times New Roman" w:hAnsi="Times New Roman" w:cs="Times New Roman"/>
          <w:noProof/>
          <w:sz w:val="24"/>
          <w:szCs w:val="24"/>
        </w:rPr>
        <w:t>(2), 126–136. https://doi.org/10.31289/analitika.v11i2.2878</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Commodari, E., &amp; La Rosa, V. L. (2021). General academic anxiety and math anxiety in primary school. The impact of math anxiety on calculation skills. </w:t>
      </w:r>
      <w:r w:rsidRPr="00962996">
        <w:rPr>
          <w:rFonts w:ascii="Times New Roman" w:hAnsi="Times New Roman" w:cs="Times New Roman"/>
          <w:i/>
          <w:iCs/>
          <w:noProof/>
          <w:sz w:val="24"/>
          <w:szCs w:val="24"/>
        </w:rPr>
        <w:t>Acta Psychologica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220</w:t>
      </w:r>
      <w:r w:rsidRPr="00962996">
        <w:rPr>
          <w:rFonts w:ascii="Times New Roman" w:hAnsi="Times New Roman" w:cs="Times New Roman"/>
          <w:noProof/>
          <w:sz w:val="24"/>
          <w:szCs w:val="24"/>
        </w:rPr>
        <w:t>(103413), 1–7. https://doi.org/10.1016/j.actpsy.2021.103413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Du, C., Qin, K., Wang, Y., &amp; Xin, T. (2021). Mathematics interest, anxiety, self-efficacy, and achievement: Examining reciprocal relations. </w:t>
      </w:r>
      <w:r w:rsidRPr="00962996">
        <w:rPr>
          <w:rFonts w:ascii="Times New Roman" w:hAnsi="Times New Roman" w:cs="Times New Roman"/>
          <w:i/>
          <w:iCs/>
          <w:noProof/>
          <w:sz w:val="24"/>
          <w:szCs w:val="24"/>
        </w:rPr>
        <w:t>Learning and Individual Differences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91</w:t>
      </w:r>
      <w:r w:rsidRPr="00962996">
        <w:rPr>
          <w:rFonts w:ascii="Times New Roman" w:hAnsi="Times New Roman" w:cs="Times New Roman"/>
          <w:noProof/>
          <w:sz w:val="24"/>
          <w:szCs w:val="24"/>
        </w:rPr>
        <w:t>(102060), 1–8. https://doi.org/10.1016/j.lindif.2021.102060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Fane, A., &amp; Sugito, S. (2019). Pengaruh keterlibatan orang tua, perilaku guru, dan motivasi belajar terhadap prestasi belajar matematika siswa. </w:t>
      </w:r>
      <w:r w:rsidRPr="00962996">
        <w:rPr>
          <w:rFonts w:ascii="Times New Roman" w:hAnsi="Times New Roman" w:cs="Times New Roman"/>
          <w:i/>
          <w:iCs/>
          <w:noProof/>
          <w:sz w:val="24"/>
          <w:szCs w:val="24"/>
        </w:rPr>
        <w:t>Jurnal Riset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6</w:t>
      </w:r>
      <w:r w:rsidRPr="00962996">
        <w:rPr>
          <w:rFonts w:ascii="Times New Roman" w:hAnsi="Times New Roman" w:cs="Times New Roman"/>
          <w:noProof/>
          <w:sz w:val="24"/>
          <w:szCs w:val="24"/>
        </w:rPr>
        <w:t>(1), 53–61. https://doi.org/10.21831/jrpm.v6i1.15246</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Finell, J., Sammallahti, E., Korhonen, J., Eklöf, H., &amp; Jonsson, B. (2022). Working memory and its mediating role on the relationship of math anxiety and math performance: a meta-analysis. </w:t>
      </w:r>
      <w:r w:rsidRPr="00962996">
        <w:rPr>
          <w:rFonts w:ascii="Times New Roman" w:hAnsi="Times New Roman" w:cs="Times New Roman"/>
          <w:i/>
          <w:iCs/>
          <w:noProof/>
          <w:sz w:val="24"/>
          <w:szCs w:val="24"/>
        </w:rPr>
        <w:t>Frontiers in Psychology</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12</w:t>
      </w:r>
      <w:r w:rsidRPr="00962996">
        <w:rPr>
          <w:rFonts w:ascii="Times New Roman" w:hAnsi="Times New Roman" w:cs="Times New Roman"/>
          <w:noProof/>
          <w:sz w:val="24"/>
          <w:szCs w:val="24"/>
        </w:rPr>
        <w:t>(798090), 1–14. https://doi.org/10.3389/fpsyg.2021.798090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Fitriyani, L., &amp; Miatun, A. (2022). Efikasi diri dan kecemasan matematika hubungannya </w:t>
      </w:r>
      <w:r w:rsidRPr="00962996">
        <w:rPr>
          <w:rFonts w:ascii="Times New Roman" w:hAnsi="Times New Roman" w:cs="Times New Roman"/>
          <w:noProof/>
          <w:sz w:val="24"/>
          <w:szCs w:val="24"/>
        </w:rPr>
        <w:lastRenderedPageBreak/>
        <w:t xml:space="preserve">dengan kemampuan berpikir kritis siswa kelas xi mipa. </w:t>
      </w:r>
      <w:r w:rsidRPr="00962996">
        <w:rPr>
          <w:rFonts w:ascii="Times New Roman" w:hAnsi="Times New Roman" w:cs="Times New Roman"/>
          <w:i/>
          <w:iCs/>
          <w:noProof/>
          <w:sz w:val="24"/>
          <w:szCs w:val="24"/>
        </w:rPr>
        <w:t>Proximal: Jurnal Penelitihan Matematika Dan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5</w:t>
      </w:r>
      <w:r w:rsidRPr="00962996">
        <w:rPr>
          <w:rFonts w:ascii="Times New Roman" w:hAnsi="Times New Roman" w:cs="Times New Roman"/>
          <w:noProof/>
          <w:sz w:val="24"/>
          <w:szCs w:val="24"/>
        </w:rPr>
        <w:t>(2), 168–180. https://doi.org/10.30605/proximal.v5i2</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Hadi, F. Z., Fathurrohman, M., &amp; Hadi, C. A. (2020). Kecemasan matematika dan kemampuan berpikir kritis matematis siswa di sekolah menengah pertama. </w:t>
      </w:r>
      <w:r w:rsidRPr="00962996">
        <w:rPr>
          <w:rFonts w:ascii="Times New Roman" w:hAnsi="Times New Roman" w:cs="Times New Roman"/>
          <w:i/>
          <w:iCs/>
          <w:noProof/>
          <w:sz w:val="24"/>
          <w:szCs w:val="24"/>
        </w:rPr>
        <w:t>ALGORITMA Journal of Mathematics Education (AJME)</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2</w:t>
      </w:r>
      <w:r w:rsidRPr="00962996">
        <w:rPr>
          <w:rFonts w:ascii="Times New Roman" w:hAnsi="Times New Roman" w:cs="Times New Roman"/>
          <w:noProof/>
          <w:sz w:val="24"/>
          <w:szCs w:val="24"/>
        </w:rPr>
        <w:t>(1), 59–72. https://doi.org/10.15408/ajme.v2i1.16312</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Julie, H., Sanjaya, F., &amp; Anggoro, A. Y. (2017). The student's ability in mathematical literacy for uncertainty problems on the pisa adaptation test. </w:t>
      </w:r>
      <w:r w:rsidRPr="00962996">
        <w:rPr>
          <w:rFonts w:ascii="Times New Roman" w:hAnsi="Times New Roman" w:cs="Times New Roman"/>
          <w:i/>
          <w:iCs/>
          <w:noProof/>
          <w:sz w:val="24"/>
          <w:szCs w:val="24"/>
        </w:rPr>
        <w:t>The 4th International Conference on Research, Implementation, and Education of Mathematics and Science (4th ICRIEMS)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1868</w:t>
      </w:r>
      <w:r w:rsidRPr="00962996">
        <w:rPr>
          <w:rFonts w:ascii="Times New Roman" w:hAnsi="Times New Roman" w:cs="Times New Roman"/>
          <w:noProof/>
          <w:sz w:val="24"/>
          <w:szCs w:val="24"/>
        </w:rPr>
        <w:t>, 1–10. https://doi.org/10.1063/1.4995153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Liviananda, F., &amp; Ekawati, R. (2019). Hubungan keyakinan siswa tentang matematika dan pembelajarannya dengan kemampuan matematika. </w:t>
      </w:r>
      <w:r w:rsidRPr="00962996">
        <w:rPr>
          <w:rFonts w:ascii="Times New Roman" w:hAnsi="Times New Roman" w:cs="Times New Roman"/>
          <w:i/>
          <w:iCs/>
          <w:noProof/>
          <w:sz w:val="24"/>
          <w:szCs w:val="24"/>
        </w:rPr>
        <w:t>Jurnal Ilmiah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8</w:t>
      </w:r>
      <w:r w:rsidRPr="00962996">
        <w:rPr>
          <w:rFonts w:ascii="Times New Roman" w:hAnsi="Times New Roman" w:cs="Times New Roman"/>
          <w:noProof/>
          <w:sz w:val="24"/>
          <w:szCs w:val="24"/>
        </w:rPr>
        <w:t>(2), 357–364. https://jurnalmahasiswa.unesa.ac.id/index.php/mathedunesa/article/view/25554/23429</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Luttenberger, S., Wimmer, S., &amp; Paechter, M. (2018). Spotlight on math anxiety. </w:t>
      </w:r>
      <w:r w:rsidRPr="00962996">
        <w:rPr>
          <w:rFonts w:ascii="Times New Roman" w:hAnsi="Times New Roman" w:cs="Times New Roman"/>
          <w:i/>
          <w:iCs/>
          <w:noProof/>
          <w:sz w:val="24"/>
          <w:szCs w:val="24"/>
        </w:rPr>
        <w:t>Psychology Research and Behavior Management</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11</w:t>
      </w:r>
      <w:r w:rsidRPr="00962996">
        <w:rPr>
          <w:rFonts w:ascii="Times New Roman" w:hAnsi="Times New Roman" w:cs="Times New Roman"/>
          <w:noProof/>
          <w:sz w:val="24"/>
          <w:szCs w:val="24"/>
        </w:rPr>
        <w:t>, 311–322. https://doi.org/10.2147/PRBM.S141421</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Macmull, M. S., &amp; Ashkenazi, S. (2019). Math anxiety: The relationship between parenting style and math self-efficacy. </w:t>
      </w:r>
      <w:r w:rsidRPr="00962996">
        <w:rPr>
          <w:rFonts w:ascii="Times New Roman" w:hAnsi="Times New Roman" w:cs="Times New Roman"/>
          <w:i/>
          <w:iCs/>
          <w:noProof/>
          <w:sz w:val="24"/>
          <w:szCs w:val="24"/>
        </w:rPr>
        <w:t>Frontiers in Psychology</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10</w:t>
      </w:r>
      <w:r w:rsidRPr="00962996">
        <w:rPr>
          <w:rFonts w:ascii="Times New Roman" w:hAnsi="Times New Roman" w:cs="Times New Roman"/>
          <w:noProof/>
          <w:sz w:val="24"/>
          <w:szCs w:val="24"/>
        </w:rPr>
        <w:t>(1721), 1–12. https://doi.org/10.3389/fpsyg.2019.01721</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Masitoh, L. F., &amp; Fitriyani, H. (2018). Improving students’ mathematics self-efficacy through problem based learning. </w:t>
      </w:r>
      <w:r w:rsidRPr="00962996">
        <w:rPr>
          <w:rFonts w:ascii="Times New Roman" w:hAnsi="Times New Roman" w:cs="Times New Roman"/>
          <w:i/>
          <w:iCs/>
          <w:noProof/>
          <w:sz w:val="24"/>
          <w:szCs w:val="24"/>
        </w:rPr>
        <w:t>Malikussaleh Journal of Mathematics Learning (MJML)</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w:t>
      </w:r>
      <w:r w:rsidRPr="00962996">
        <w:rPr>
          <w:rFonts w:ascii="Times New Roman" w:hAnsi="Times New Roman" w:cs="Times New Roman"/>
          <w:noProof/>
          <w:sz w:val="24"/>
          <w:szCs w:val="24"/>
        </w:rPr>
        <w:t>(1), 26–30. https://doi.org/10.29103/mjml.v1i1.679</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Mazana, M. Y., Montero, C. S., &amp; Casmir, R. O. (2019). Investigating students’ attitude towards learning mathematics. </w:t>
      </w:r>
      <w:r w:rsidRPr="00962996">
        <w:rPr>
          <w:rFonts w:ascii="Times New Roman" w:hAnsi="Times New Roman" w:cs="Times New Roman"/>
          <w:i/>
          <w:iCs/>
          <w:noProof/>
          <w:sz w:val="24"/>
          <w:szCs w:val="24"/>
        </w:rPr>
        <w:t>International Electronic Journal Of Mathematics Education</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14</w:t>
      </w:r>
      <w:r w:rsidRPr="00962996">
        <w:rPr>
          <w:rFonts w:ascii="Times New Roman" w:hAnsi="Times New Roman" w:cs="Times New Roman"/>
          <w:noProof/>
          <w:sz w:val="24"/>
          <w:szCs w:val="24"/>
        </w:rPr>
        <w:t>(1), 207–231. https://doi.org/10.29333/iejme/3997</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Mubarrak, K. R., Ihsan, H., &amp; Wyandini, D. Z. (2022). Development of math efficacy scale for junior high school student in indonesia. </w:t>
      </w:r>
      <w:r w:rsidRPr="00962996">
        <w:rPr>
          <w:rFonts w:ascii="Times New Roman" w:hAnsi="Times New Roman" w:cs="Times New Roman"/>
          <w:i/>
          <w:iCs/>
          <w:noProof/>
          <w:sz w:val="24"/>
          <w:szCs w:val="24"/>
        </w:rPr>
        <w:t>Jurnal Elemen</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8</w:t>
      </w:r>
      <w:r w:rsidRPr="00962996">
        <w:rPr>
          <w:rFonts w:ascii="Times New Roman" w:hAnsi="Times New Roman" w:cs="Times New Roman"/>
          <w:noProof/>
          <w:sz w:val="24"/>
          <w:szCs w:val="24"/>
        </w:rPr>
        <w:t>(1), 276–289. https://doi.org/10.29408/jel.v8i1.4522</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Muncer, G., Higham, P. A., Gosling, C. J., Cortese, S., Wood-Downie, H., &amp; Hadwin, J. A. (2022). A meta-analysis investigating the association between metacognition and math performance in adolescence. </w:t>
      </w:r>
      <w:r w:rsidRPr="00962996">
        <w:rPr>
          <w:rFonts w:ascii="Times New Roman" w:hAnsi="Times New Roman" w:cs="Times New Roman"/>
          <w:i/>
          <w:iCs/>
          <w:noProof/>
          <w:sz w:val="24"/>
          <w:szCs w:val="24"/>
        </w:rPr>
        <w:t>Educational Psychology Review</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34</w:t>
      </w:r>
      <w:r w:rsidRPr="00962996">
        <w:rPr>
          <w:rFonts w:ascii="Times New Roman" w:hAnsi="Times New Roman" w:cs="Times New Roman"/>
          <w:noProof/>
          <w:sz w:val="24"/>
          <w:szCs w:val="24"/>
        </w:rPr>
        <w:t>(1), 301–334. https://doi.org/10.1007/s10648-021-09620-x</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Mutlu, Y. (2019). Math anxiety in students with and without math learning difficulties. </w:t>
      </w:r>
      <w:r w:rsidRPr="00962996">
        <w:rPr>
          <w:rFonts w:ascii="Times New Roman" w:hAnsi="Times New Roman" w:cs="Times New Roman"/>
          <w:i/>
          <w:iCs/>
          <w:noProof/>
          <w:sz w:val="24"/>
          <w:szCs w:val="24"/>
        </w:rPr>
        <w:t>International Electronic Journal of Elementary Education (IEJEE)</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11</w:t>
      </w:r>
      <w:r w:rsidRPr="00962996">
        <w:rPr>
          <w:rFonts w:ascii="Times New Roman" w:hAnsi="Times New Roman" w:cs="Times New Roman"/>
          <w:noProof/>
          <w:sz w:val="24"/>
          <w:szCs w:val="24"/>
        </w:rPr>
        <w:t>(5), 471–475. https://doi.org/10.26822/iejee.2019553343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Negara, F. P., Abidin, Z., &amp; Faradiba, S. S. (2022). Meningkatkan self-efficacy matematika siswa melalui pembelajaran berbasis masalah. </w:t>
      </w:r>
      <w:r w:rsidRPr="00962996">
        <w:rPr>
          <w:rFonts w:ascii="Times New Roman" w:hAnsi="Times New Roman" w:cs="Times New Roman"/>
          <w:i/>
          <w:iCs/>
          <w:noProof/>
          <w:sz w:val="24"/>
          <w:szCs w:val="24"/>
        </w:rPr>
        <w:t>Jurnal Cendekia : Jurnal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7</w:t>
      </w:r>
      <w:r w:rsidRPr="00962996">
        <w:rPr>
          <w:rFonts w:ascii="Times New Roman" w:hAnsi="Times New Roman" w:cs="Times New Roman"/>
          <w:noProof/>
          <w:sz w:val="24"/>
          <w:szCs w:val="24"/>
        </w:rPr>
        <w:t>(1), 455–466. https://doi.org/10.31004/cendekia.v7i1.1943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OECD. (2013). </w:t>
      </w:r>
      <w:r w:rsidRPr="00962996">
        <w:rPr>
          <w:rFonts w:ascii="Times New Roman" w:hAnsi="Times New Roman" w:cs="Times New Roman"/>
          <w:i/>
          <w:iCs/>
          <w:noProof/>
          <w:sz w:val="24"/>
          <w:szCs w:val="24"/>
        </w:rPr>
        <w:t>PISA 2012 Results in Focus: What 15-year-olds know and what they can do with what they know</w:t>
      </w:r>
      <w:r w:rsidRPr="00962996">
        <w:rPr>
          <w:rFonts w:ascii="Times New Roman" w:hAnsi="Times New Roman" w:cs="Times New Roman"/>
          <w:noProof/>
          <w:sz w:val="24"/>
          <w:szCs w:val="24"/>
        </w:rPr>
        <w:t>. http://hdl.voced.edu.au/10707/280925</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OECD. (2016). </w:t>
      </w:r>
      <w:r w:rsidRPr="00962996">
        <w:rPr>
          <w:rFonts w:ascii="Times New Roman" w:hAnsi="Times New Roman" w:cs="Times New Roman"/>
          <w:i/>
          <w:iCs/>
          <w:noProof/>
          <w:sz w:val="24"/>
          <w:szCs w:val="24"/>
        </w:rPr>
        <w:t>PISA 2015 Results in Focus</w:t>
      </w:r>
      <w:r w:rsidRPr="00962996">
        <w:rPr>
          <w:rFonts w:ascii="Times New Roman" w:hAnsi="Times New Roman" w:cs="Times New Roman"/>
          <w:noProof/>
          <w:sz w:val="24"/>
          <w:szCs w:val="24"/>
        </w:rPr>
        <w:t>. https://doi.org/https://doi.org/10.1787/aa9237e6-en</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Ozkal, N. (2019). Relationships between self-efficacy beliefs, enggagement and academic performance in math lessons. </w:t>
      </w:r>
      <w:r w:rsidRPr="00962996">
        <w:rPr>
          <w:rFonts w:ascii="Times New Roman" w:hAnsi="Times New Roman" w:cs="Times New Roman"/>
          <w:i/>
          <w:iCs/>
          <w:noProof/>
          <w:sz w:val="24"/>
          <w:szCs w:val="24"/>
        </w:rPr>
        <w:t>Cypriot Journal of Educational Sciences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14</w:t>
      </w:r>
      <w:r w:rsidRPr="00962996">
        <w:rPr>
          <w:rFonts w:ascii="Times New Roman" w:hAnsi="Times New Roman" w:cs="Times New Roman"/>
          <w:noProof/>
          <w:sz w:val="24"/>
          <w:szCs w:val="24"/>
        </w:rPr>
        <w:t>(2), 190–200. https://doi.org/10.18844/cjes.v14i2.3766</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Putrie, C. A. R., &amp; Fauzia, M. (2019). Pengaruh dukungan sosial orang tua terhadap prestasi belajar siswa smp angkasa halim perdana kusuma jakarta timur. </w:t>
      </w:r>
      <w:r w:rsidRPr="00962996">
        <w:rPr>
          <w:rFonts w:ascii="Times New Roman" w:hAnsi="Times New Roman" w:cs="Times New Roman"/>
          <w:i/>
          <w:iCs/>
          <w:noProof/>
          <w:sz w:val="24"/>
          <w:szCs w:val="24"/>
        </w:rPr>
        <w:t>Jurnal Inovasi Pendidikan Ekonomi (JIPE)</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9</w:t>
      </w:r>
      <w:r w:rsidRPr="00962996">
        <w:rPr>
          <w:rFonts w:ascii="Times New Roman" w:hAnsi="Times New Roman" w:cs="Times New Roman"/>
          <w:noProof/>
          <w:sz w:val="24"/>
          <w:szCs w:val="24"/>
        </w:rPr>
        <w:t>(2), 177–182. https://doi.org/10.24036/011068980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lastRenderedPageBreak/>
        <w:t xml:space="preserve">Rizki, L. M., &amp; Priatna, N. (2019). Mathematical literacy as the 21st century skill. </w:t>
      </w:r>
      <w:r w:rsidRPr="00962996">
        <w:rPr>
          <w:rFonts w:ascii="Times New Roman" w:hAnsi="Times New Roman" w:cs="Times New Roman"/>
          <w:i/>
          <w:iCs/>
          <w:noProof/>
          <w:sz w:val="24"/>
          <w:szCs w:val="24"/>
        </w:rPr>
        <w:t>Journal of Physics: Conference Series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1157</w:t>
      </w:r>
      <w:r w:rsidRPr="00962996">
        <w:rPr>
          <w:rFonts w:ascii="Times New Roman" w:hAnsi="Times New Roman" w:cs="Times New Roman"/>
          <w:noProof/>
          <w:sz w:val="24"/>
          <w:szCs w:val="24"/>
        </w:rPr>
        <w:t>(4), 1–5. https://doi.org/10.1088/1742-6596/1157/4/042088</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Rusyda, N. A., Suherman, S., Suhendra, S., &amp; Rusdinal, R. (2020). Meningkatkan self-efficacy matematis peserta didik pada pembelajaran matematika melalui pendekatan brain based learning. </w:t>
      </w:r>
      <w:r w:rsidRPr="00962996">
        <w:rPr>
          <w:rFonts w:ascii="Times New Roman" w:hAnsi="Times New Roman" w:cs="Times New Roman"/>
          <w:i/>
          <w:iCs/>
          <w:noProof/>
          <w:sz w:val="24"/>
          <w:szCs w:val="24"/>
        </w:rPr>
        <w:t>Media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8</w:t>
      </w:r>
      <w:r w:rsidRPr="00962996">
        <w:rPr>
          <w:rFonts w:ascii="Times New Roman" w:hAnsi="Times New Roman" w:cs="Times New Roman"/>
          <w:noProof/>
          <w:sz w:val="24"/>
          <w:szCs w:val="24"/>
        </w:rPr>
        <w:t>(2), 74–79. https://doi.org/10.33394/mpm.v8i2.3192</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Schleicher, A. (2019). PISA 2018: Insights and Interpretations. In </w:t>
      </w:r>
      <w:r w:rsidRPr="00962996">
        <w:rPr>
          <w:rFonts w:ascii="Times New Roman" w:hAnsi="Times New Roman" w:cs="Times New Roman"/>
          <w:i/>
          <w:iCs/>
          <w:noProof/>
          <w:sz w:val="24"/>
          <w:szCs w:val="24"/>
        </w:rPr>
        <w:t>OECD Publishing</w:t>
      </w:r>
      <w:r w:rsidRPr="00962996">
        <w:rPr>
          <w:rFonts w:ascii="Times New Roman" w:hAnsi="Times New Roman" w:cs="Times New Roman"/>
          <w:noProof/>
          <w:sz w:val="24"/>
          <w:szCs w:val="24"/>
        </w:rPr>
        <w:t>. https://eric.ed.gov/?id=ED601150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Schöber, C., Schütte, K., Köller, O., McElvany, N., &amp; Gebauer, M. M. (2018). Reciprocal effects between self-efficacy and achievement in mathematics and reading. </w:t>
      </w:r>
      <w:r w:rsidRPr="00962996">
        <w:rPr>
          <w:rFonts w:ascii="Times New Roman" w:hAnsi="Times New Roman" w:cs="Times New Roman"/>
          <w:i/>
          <w:iCs/>
          <w:noProof/>
          <w:sz w:val="24"/>
          <w:szCs w:val="24"/>
        </w:rPr>
        <w:t>Learning and Individual Differences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63</w:t>
      </w:r>
      <w:r w:rsidRPr="00962996">
        <w:rPr>
          <w:rFonts w:ascii="Times New Roman" w:hAnsi="Times New Roman" w:cs="Times New Roman"/>
          <w:noProof/>
          <w:sz w:val="24"/>
          <w:szCs w:val="24"/>
        </w:rPr>
        <w:t>, 1–11. https://doi.org/10.1016/j.lindif.2018.01.008</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Sherard, W. H. (1981). Math Anxiety in the Classroom. </w:t>
      </w:r>
      <w:r w:rsidRPr="00962996">
        <w:rPr>
          <w:rFonts w:ascii="Times New Roman" w:hAnsi="Times New Roman" w:cs="Times New Roman"/>
          <w:i/>
          <w:iCs/>
          <w:noProof/>
          <w:sz w:val="24"/>
          <w:szCs w:val="24"/>
        </w:rPr>
        <w:t>The Clearing House: A Journal of Educational Strategies, Issues and Ideas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55</w:t>
      </w:r>
      <w:r w:rsidRPr="00962996">
        <w:rPr>
          <w:rFonts w:ascii="Times New Roman" w:hAnsi="Times New Roman" w:cs="Times New Roman"/>
          <w:noProof/>
          <w:sz w:val="24"/>
          <w:szCs w:val="24"/>
        </w:rPr>
        <w:t>(3), 106–110. https://doi.org/10.1080/00098655.1981.10113669</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Somawati, S. (2018). Peran efikasi diri (self efficacy) terhadap kemampuan pemecahan masalah matematika. </w:t>
      </w:r>
      <w:r w:rsidRPr="00962996">
        <w:rPr>
          <w:rFonts w:ascii="Times New Roman" w:hAnsi="Times New Roman" w:cs="Times New Roman"/>
          <w:i/>
          <w:iCs/>
          <w:noProof/>
          <w:sz w:val="24"/>
          <w:szCs w:val="24"/>
        </w:rPr>
        <w:t>Jurnal Konseling Dan Pendidikan</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6</w:t>
      </w:r>
      <w:r w:rsidRPr="00962996">
        <w:rPr>
          <w:rFonts w:ascii="Times New Roman" w:hAnsi="Times New Roman" w:cs="Times New Roman"/>
          <w:noProof/>
          <w:sz w:val="24"/>
          <w:szCs w:val="24"/>
        </w:rPr>
        <w:t>(1), 39–45. https://doi.org/10.29210/118800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Sugiyono. (2022). </w:t>
      </w:r>
      <w:r w:rsidRPr="00962996">
        <w:rPr>
          <w:rFonts w:ascii="Times New Roman" w:hAnsi="Times New Roman" w:cs="Times New Roman"/>
          <w:i/>
          <w:iCs/>
          <w:noProof/>
          <w:sz w:val="24"/>
          <w:szCs w:val="24"/>
        </w:rPr>
        <w:t>Metode Penelitian Kuantitatif, Kualitatif, dan R&amp;D</w:t>
      </w:r>
      <w:r w:rsidRPr="00962996">
        <w:rPr>
          <w:rFonts w:ascii="Times New Roman" w:hAnsi="Times New Roman" w:cs="Times New Roman"/>
          <w:noProof/>
          <w:sz w:val="24"/>
          <w:szCs w:val="24"/>
        </w:rPr>
        <w:t xml:space="preserve"> (Sutopo (ed.); 2nd ed.). Alfabeta CV.</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Sujarwo, S. (2014). Hubungan antara efikasi diri dengan kecemasan belajar matematika pada siswa ips kelas i sma karya ibu palembang. </w:t>
      </w:r>
      <w:r w:rsidRPr="00962996">
        <w:rPr>
          <w:rFonts w:ascii="Times New Roman" w:hAnsi="Times New Roman" w:cs="Times New Roman"/>
          <w:i/>
          <w:iCs/>
          <w:noProof/>
          <w:sz w:val="24"/>
          <w:szCs w:val="24"/>
        </w:rPr>
        <w:t>Jurnal Ilmiah PSYCHE</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8</w:t>
      </w:r>
      <w:r w:rsidRPr="00962996">
        <w:rPr>
          <w:rFonts w:ascii="Times New Roman" w:hAnsi="Times New Roman" w:cs="Times New Roman"/>
          <w:noProof/>
          <w:sz w:val="24"/>
          <w:szCs w:val="24"/>
        </w:rPr>
        <w:t>(1), 63.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Sumiati, A., &amp; Agustini, Y. (2020). Analisis kesulitan menyelesaikan soal segi empat dan segitiga siswa smp kelas viii di cianjur. </w:t>
      </w:r>
      <w:r w:rsidRPr="00962996">
        <w:rPr>
          <w:rFonts w:ascii="Times New Roman" w:hAnsi="Times New Roman" w:cs="Times New Roman"/>
          <w:i/>
          <w:iCs/>
          <w:noProof/>
          <w:sz w:val="24"/>
          <w:szCs w:val="24"/>
        </w:rPr>
        <w:t>Jurnal Cendekia: Jurnal 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4</w:t>
      </w:r>
      <w:r w:rsidRPr="00962996">
        <w:rPr>
          <w:rFonts w:ascii="Times New Roman" w:hAnsi="Times New Roman" w:cs="Times New Roman"/>
          <w:noProof/>
          <w:sz w:val="24"/>
          <w:szCs w:val="24"/>
        </w:rPr>
        <w:t>(1), 321–330. https://doi.org/10.31004/cendekia.v4i1.184</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Thomaes, S., Tjaarda, I. C., Brummelman, E., &amp; Sedikides, C. (2020). Effort self-talk benefits the mathematics performance of children with negative competence beliefs. </w:t>
      </w:r>
      <w:r w:rsidRPr="00962996">
        <w:rPr>
          <w:rFonts w:ascii="Times New Roman" w:hAnsi="Times New Roman" w:cs="Times New Roman"/>
          <w:i/>
          <w:iCs/>
          <w:noProof/>
          <w:sz w:val="24"/>
          <w:szCs w:val="24"/>
        </w:rPr>
        <w:t>Child Development</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91</w:t>
      </w:r>
      <w:r w:rsidRPr="00962996">
        <w:rPr>
          <w:rFonts w:ascii="Times New Roman" w:hAnsi="Times New Roman" w:cs="Times New Roman"/>
          <w:noProof/>
          <w:sz w:val="24"/>
          <w:szCs w:val="24"/>
        </w:rPr>
        <w:t>(6), 2211–2220. https://doi.org/10.1111/cdev.13347</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Uran, A. L., Leton, S. I., &amp; Uskono, I. V. (2019). Pengaruh efikasi diri dan dukungan sosial guru terhadap prestasi belajar matematika siswa. </w:t>
      </w:r>
      <w:r w:rsidRPr="00962996">
        <w:rPr>
          <w:rFonts w:ascii="Times New Roman" w:hAnsi="Times New Roman" w:cs="Times New Roman"/>
          <w:i/>
          <w:iCs/>
          <w:noProof/>
          <w:sz w:val="24"/>
          <w:szCs w:val="24"/>
        </w:rPr>
        <w:t>Asimtot : Jurnal Kependidikan Matematika</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w:t>
      </w:r>
      <w:r w:rsidRPr="00962996">
        <w:rPr>
          <w:rFonts w:ascii="Times New Roman" w:hAnsi="Times New Roman" w:cs="Times New Roman"/>
          <w:noProof/>
          <w:sz w:val="24"/>
          <w:szCs w:val="24"/>
        </w:rPr>
        <w:t>(1), 69–76. https://doi.org/10.30822/asimtot.v1i1.100</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Xu, Z., &amp; Jang, E. E. (2017). The role of math self-efficacy in the structural model of extracurricular technology-related activities and junior elementary school students’ mathematics ability. </w:t>
      </w:r>
      <w:r w:rsidRPr="00962996">
        <w:rPr>
          <w:rFonts w:ascii="Times New Roman" w:hAnsi="Times New Roman" w:cs="Times New Roman"/>
          <w:i/>
          <w:iCs/>
          <w:noProof/>
          <w:sz w:val="24"/>
          <w:szCs w:val="24"/>
        </w:rPr>
        <w:t>Computers in Human Behavior</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68</w:t>
      </w:r>
      <w:r w:rsidRPr="00962996">
        <w:rPr>
          <w:rFonts w:ascii="Times New Roman" w:hAnsi="Times New Roman" w:cs="Times New Roman"/>
          <w:noProof/>
          <w:sz w:val="24"/>
          <w:szCs w:val="24"/>
        </w:rPr>
        <w:t>, 547–555. https://doi.org/10.1016/j.chb.2016.11.063</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Yáñez-Marquina, L., &amp; Villardón-Gallego, L. (2017). Math anxiety, a hierarchical construct: Development and validation of the scale for assessing math anxiety in secondary education. </w:t>
      </w:r>
      <w:r w:rsidRPr="00962996">
        <w:rPr>
          <w:rFonts w:ascii="Times New Roman" w:hAnsi="Times New Roman" w:cs="Times New Roman"/>
          <w:i/>
          <w:iCs/>
          <w:noProof/>
          <w:sz w:val="24"/>
          <w:szCs w:val="24"/>
        </w:rPr>
        <w:t>Ansiedad y Estres</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23</w:t>
      </w:r>
      <w:r w:rsidRPr="00962996">
        <w:rPr>
          <w:rFonts w:ascii="Times New Roman" w:hAnsi="Times New Roman" w:cs="Times New Roman"/>
          <w:noProof/>
          <w:sz w:val="24"/>
          <w:szCs w:val="24"/>
        </w:rPr>
        <w:t>(2–3), 59–65. https://doi.org/10.1016/j.anyes.2017.10.001</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szCs w:val="24"/>
        </w:rPr>
      </w:pPr>
      <w:r w:rsidRPr="00962996">
        <w:rPr>
          <w:rFonts w:ascii="Times New Roman" w:hAnsi="Times New Roman" w:cs="Times New Roman"/>
          <w:noProof/>
          <w:sz w:val="24"/>
          <w:szCs w:val="24"/>
        </w:rPr>
        <w:t xml:space="preserve">Zhang, D., &amp; Wang, C. (2020). The relationship between mathematics interest and mathematics achievement: Mediating roles of self-efficacy and mathematics anxiety. </w:t>
      </w:r>
      <w:r w:rsidRPr="00962996">
        <w:rPr>
          <w:rFonts w:ascii="Times New Roman" w:hAnsi="Times New Roman" w:cs="Times New Roman"/>
          <w:i/>
          <w:iCs/>
          <w:noProof/>
          <w:sz w:val="24"/>
          <w:szCs w:val="24"/>
        </w:rPr>
        <w:t>International Journal of Educational Research</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104</w:t>
      </w:r>
      <w:r w:rsidRPr="00962996">
        <w:rPr>
          <w:rFonts w:ascii="Times New Roman" w:hAnsi="Times New Roman" w:cs="Times New Roman"/>
          <w:noProof/>
          <w:sz w:val="24"/>
          <w:szCs w:val="24"/>
        </w:rPr>
        <w:t>(101648), 1–9. https://doi.org/10.1016/j.ijer.2020.101648</w:t>
      </w:r>
    </w:p>
    <w:p w:rsidR="00F2551C" w:rsidRPr="00962996" w:rsidRDefault="00000000" w:rsidP="00962996">
      <w:pPr>
        <w:widowControl w:val="0"/>
        <w:autoSpaceDE w:val="0"/>
        <w:autoSpaceDN w:val="0"/>
        <w:adjustRightInd w:val="0"/>
        <w:spacing w:after="0" w:line="240" w:lineRule="auto"/>
        <w:ind w:left="480" w:hanging="480"/>
        <w:jc w:val="both"/>
        <w:rPr>
          <w:rFonts w:ascii="Times New Roman" w:hAnsi="Times New Roman" w:cs="Times New Roman"/>
          <w:noProof/>
          <w:sz w:val="24"/>
        </w:rPr>
      </w:pPr>
      <w:r w:rsidRPr="00962996">
        <w:rPr>
          <w:rFonts w:ascii="Times New Roman" w:hAnsi="Times New Roman" w:cs="Times New Roman"/>
          <w:noProof/>
          <w:sz w:val="24"/>
          <w:szCs w:val="24"/>
        </w:rPr>
        <w:t xml:space="preserve">Zhang, J., Zhao, N., &amp; Kong, Q. P. (2019). The relationship between math anxiety and math performance: A meta-analytic investigation. </w:t>
      </w:r>
      <w:r w:rsidRPr="00962996">
        <w:rPr>
          <w:rFonts w:ascii="Times New Roman" w:hAnsi="Times New Roman" w:cs="Times New Roman"/>
          <w:i/>
          <w:iCs/>
          <w:noProof/>
          <w:sz w:val="24"/>
          <w:szCs w:val="24"/>
        </w:rPr>
        <w:t>Frontiers in Psychology</w:t>
      </w:r>
      <w:r w:rsidRPr="00962996">
        <w:rPr>
          <w:rFonts w:ascii="Times New Roman" w:hAnsi="Times New Roman" w:cs="Times New Roman"/>
          <w:noProof/>
          <w:sz w:val="24"/>
          <w:szCs w:val="24"/>
        </w:rPr>
        <w:t xml:space="preserve">, </w:t>
      </w:r>
      <w:r w:rsidRPr="00962996">
        <w:rPr>
          <w:rFonts w:ascii="Times New Roman" w:hAnsi="Times New Roman" w:cs="Times New Roman"/>
          <w:i/>
          <w:iCs/>
          <w:noProof/>
          <w:sz w:val="24"/>
          <w:szCs w:val="24"/>
        </w:rPr>
        <w:t>10</w:t>
      </w:r>
      <w:r w:rsidRPr="00962996">
        <w:rPr>
          <w:rFonts w:ascii="Times New Roman" w:hAnsi="Times New Roman" w:cs="Times New Roman"/>
          <w:noProof/>
          <w:sz w:val="24"/>
          <w:szCs w:val="24"/>
        </w:rPr>
        <w:t>(1613), 1–17. https://doi.org/10.3389/fpsyg.2019.01613</w:t>
      </w:r>
    </w:p>
    <w:p w:rsidR="00B00F43" w:rsidRPr="00962996" w:rsidRDefault="00000000" w:rsidP="0096299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fldChar w:fldCharType="end"/>
      </w:r>
    </w:p>
    <w:sectPr w:rsidR="00B00F43" w:rsidRPr="00962996">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70DBA" w:rsidRDefault="00370DBA" w:rsidP="00B628ED">
      <w:pPr>
        <w:spacing w:after="0" w:line="240" w:lineRule="auto"/>
      </w:pPr>
      <w:r>
        <w:separator/>
      </w:r>
    </w:p>
  </w:endnote>
  <w:endnote w:type="continuationSeparator" w:id="0">
    <w:p w:rsidR="00370DBA" w:rsidRDefault="00370DBA" w:rsidP="00B62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sha">
    <w:charset w:val="B1"/>
    <w:family w:val="swiss"/>
    <w:pitch w:val="variable"/>
    <w:sig w:usb0="80000807" w:usb1="40000042"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628ED" w:rsidRPr="00EA529D" w:rsidRDefault="00B628ED" w:rsidP="00EA529D">
    <w:pPr>
      <w:pStyle w:val="Footer"/>
      <w:jc w:val="center"/>
      <w:rPr>
        <w:sz w:val="16"/>
        <w:szCs w:val="16"/>
      </w:rPr>
    </w:pPr>
    <w:r w:rsidRPr="00EA529D">
      <w:rPr>
        <w:sz w:val="16"/>
        <w:szCs w:val="16"/>
        <w:lang w:val="en-US"/>
      </w:rPr>
      <w:t>Copyright © Universitas Muhammadiyah Sidoarjo. This is an open-access article distributed under the terms of the Creative Commons Attribution Licence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B628ED" w:rsidRPr="00EA529D" w:rsidRDefault="00B628E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70DBA" w:rsidRDefault="00370DBA" w:rsidP="00B628ED">
      <w:pPr>
        <w:spacing w:after="0" w:line="240" w:lineRule="auto"/>
      </w:pPr>
      <w:r>
        <w:separator/>
      </w:r>
    </w:p>
  </w:footnote>
  <w:footnote w:type="continuationSeparator" w:id="0">
    <w:p w:rsidR="00370DBA" w:rsidRDefault="00370DBA" w:rsidP="00B628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5735497"/>
      <w:docPartObj>
        <w:docPartGallery w:val="Page Numbers (Top of Page)"/>
        <w:docPartUnique/>
      </w:docPartObj>
    </w:sdtPr>
    <w:sdtEndPr>
      <w:rPr>
        <w:noProof/>
      </w:rPr>
    </w:sdtEndPr>
    <w:sdtContent>
      <w:p w:rsidR="0080017D" w:rsidRDefault="0080017D">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EA529D" w:rsidRDefault="00EA52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14508"/>
    <w:multiLevelType w:val="hybridMultilevel"/>
    <w:tmpl w:val="AB185B34"/>
    <w:lvl w:ilvl="0" w:tplc="4D7CE6BA">
      <w:start w:val="1"/>
      <w:numFmt w:val="decimal"/>
      <w:lvlText w:val="%1."/>
      <w:lvlJc w:val="left"/>
      <w:pPr>
        <w:ind w:left="720" w:hanging="360"/>
      </w:pPr>
      <w:rPr>
        <w:rFonts w:hint="default"/>
      </w:rPr>
    </w:lvl>
    <w:lvl w:ilvl="1" w:tplc="E9E6A180">
      <w:start w:val="1"/>
      <w:numFmt w:val="lowerLetter"/>
      <w:lvlText w:val="%2."/>
      <w:lvlJc w:val="left"/>
      <w:pPr>
        <w:ind w:left="1440" w:hanging="360"/>
      </w:pPr>
    </w:lvl>
    <w:lvl w:ilvl="2" w:tplc="1A8CD004" w:tentative="1">
      <w:start w:val="1"/>
      <w:numFmt w:val="lowerRoman"/>
      <w:lvlText w:val="%3."/>
      <w:lvlJc w:val="right"/>
      <w:pPr>
        <w:ind w:left="2160" w:hanging="180"/>
      </w:pPr>
    </w:lvl>
    <w:lvl w:ilvl="3" w:tplc="C4C44794" w:tentative="1">
      <w:start w:val="1"/>
      <w:numFmt w:val="decimal"/>
      <w:lvlText w:val="%4."/>
      <w:lvlJc w:val="left"/>
      <w:pPr>
        <w:ind w:left="2880" w:hanging="360"/>
      </w:pPr>
    </w:lvl>
    <w:lvl w:ilvl="4" w:tplc="68A03F48" w:tentative="1">
      <w:start w:val="1"/>
      <w:numFmt w:val="lowerLetter"/>
      <w:lvlText w:val="%5."/>
      <w:lvlJc w:val="left"/>
      <w:pPr>
        <w:ind w:left="3600" w:hanging="360"/>
      </w:pPr>
    </w:lvl>
    <w:lvl w:ilvl="5" w:tplc="1B5638D0" w:tentative="1">
      <w:start w:val="1"/>
      <w:numFmt w:val="lowerRoman"/>
      <w:lvlText w:val="%6."/>
      <w:lvlJc w:val="right"/>
      <w:pPr>
        <w:ind w:left="4320" w:hanging="180"/>
      </w:pPr>
    </w:lvl>
    <w:lvl w:ilvl="6" w:tplc="D524784C" w:tentative="1">
      <w:start w:val="1"/>
      <w:numFmt w:val="decimal"/>
      <w:lvlText w:val="%7."/>
      <w:lvlJc w:val="left"/>
      <w:pPr>
        <w:ind w:left="5040" w:hanging="360"/>
      </w:pPr>
    </w:lvl>
    <w:lvl w:ilvl="7" w:tplc="7E0E6C18" w:tentative="1">
      <w:start w:val="1"/>
      <w:numFmt w:val="lowerLetter"/>
      <w:lvlText w:val="%8."/>
      <w:lvlJc w:val="left"/>
      <w:pPr>
        <w:ind w:left="5760" w:hanging="360"/>
      </w:pPr>
    </w:lvl>
    <w:lvl w:ilvl="8" w:tplc="2FC4DCD6" w:tentative="1">
      <w:start w:val="1"/>
      <w:numFmt w:val="lowerRoman"/>
      <w:lvlText w:val="%9."/>
      <w:lvlJc w:val="right"/>
      <w:pPr>
        <w:ind w:left="6480" w:hanging="180"/>
      </w:pPr>
    </w:lvl>
  </w:abstractNum>
  <w:num w:numId="1" w16cid:durableId="746460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K2NDc3MbEwNDK0NDFV0lEKTi0uzszPAykwrAUAIH2STCwAAAA="/>
  </w:docVars>
  <w:rsids>
    <w:rsidRoot w:val="00D94AF4"/>
    <w:rsid w:val="00000F08"/>
    <w:rsid w:val="000176BB"/>
    <w:rsid w:val="000215FC"/>
    <w:rsid w:val="00024DF9"/>
    <w:rsid w:val="0003060B"/>
    <w:rsid w:val="000314F3"/>
    <w:rsid w:val="00035916"/>
    <w:rsid w:val="0004375C"/>
    <w:rsid w:val="00043A37"/>
    <w:rsid w:val="00044764"/>
    <w:rsid w:val="0004793E"/>
    <w:rsid w:val="000545B1"/>
    <w:rsid w:val="00072508"/>
    <w:rsid w:val="00086501"/>
    <w:rsid w:val="0009237B"/>
    <w:rsid w:val="00097984"/>
    <w:rsid w:val="000B048F"/>
    <w:rsid w:val="000B19A0"/>
    <w:rsid w:val="000C4A1C"/>
    <w:rsid w:val="000C7F45"/>
    <w:rsid w:val="000D0EBC"/>
    <w:rsid w:val="000D3F96"/>
    <w:rsid w:val="000D3FB5"/>
    <w:rsid w:val="000D7F16"/>
    <w:rsid w:val="000E1C18"/>
    <w:rsid w:val="000E2388"/>
    <w:rsid w:val="000E6A31"/>
    <w:rsid w:val="001006D0"/>
    <w:rsid w:val="001067AC"/>
    <w:rsid w:val="0010744A"/>
    <w:rsid w:val="0011782D"/>
    <w:rsid w:val="00121593"/>
    <w:rsid w:val="0012264C"/>
    <w:rsid w:val="00136234"/>
    <w:rsid w:val="00136499"/>
    <w:rsid w:val="00142703"/>
    <w:rsid w:val="00144A80"/>
    <w:rsid w:val="001514DE"/>
    <w:rsid w:val="00164801"/>
    <w:rsid w:val="00170CCB"/>
    <w:rsid w:val="001767EB"/>
    <w:rsid w:val="00177066"/>
    <w:rsid w:val="00182D85"/>
    <w:rsid w:val="00182DC2"/>
    <w:rsid w:val="00184C26"/>
    <w:rsid w:val="00187B54"/>
    <w:rsid w:val="00190586"/>
    <w:rsid w:val="001A0C8B"/>
    <w:rsid w:val="001A53E2"/>
    <w:rsid w:val="001B31A8"/>
    <w:rsid w:val="001C5DA9"/>
    <w:rsid w:val="001D25A5"/>
    <w:rsid w:val="001E396A"/>
    <w:rsid w:val="001E5A72"/>
    <w:rsid w:val="001F17BB"/>
    <w:rsid w:val="001F1E3E"/>
    <w:rsid w:val="001F7300"/>
    <w:rsid w:val="0020038C"/>
    <w:rsid w:val="00201CA3"/>
    <w:rsid w:val="002079C1"/>
    <w:rsid w:val="00211064"/>
    <w:rsid w:val="002200D0"/>
    <w:rsid w:val="00220AEC"/>
    <w:rsid w:val="00232060"/>
    <w:rsid w:val="00232A41"/>
    <w:rsid w:val="00245952"/>
    <w:rsid w:val="00247FFE"/>
    <w:rsid w:val="002543E2"/>
    <w:rsid w:val="00257B5A"/>
    <w:rsid w:val="00260F27"/>
    <w:rsid w:val="00266AE4"/>
    <w:rsid w:val="0027383E"/>
    <w:rsid w:val="0027542A"/>
    <w:rsid w:val="00283912"/>
    <w:rsid w:val="00287A37"/>
    <w:rsid w:val="00293FA8"/>
    <w:rsid w:val="00296239"/>
    <w:rsid w:val="002A74F0"/>
    <w:rsid w:val="002A758C"/>
    <w:rsid w:val="002A7CD5"/>
    <w:rsid w:val="002C3351"/>
    <w:rsid w:val="002C4DF2"/>
    <w:rsid w:val="002D08F6"/>
    <w:rsid w:val="002E2A24"/>
    <w:rsid w:val="002E332C"/>
    <w:rsid w:val="002E5593"/>
    <w:rsid w:val="002E7F26"/>
    <w:rsid w:val="002F2569"/>
    <w:rsid w:val="002F4EAF"/>
    <w:rsid w:val="00314CCA"/>
    <w:rsid w:val="003212AB"/>
    <w:rsid w:val="0032450C"/>
    <w:rsid w:val="00331A25"/>
    <w:rsid w:val="00332223"/>
    <w:rsid w:val="0033390D"/>
    <w:rsid w:val="00334B5B"/>
    <w:rsid w:val="0034068F"/>
    <w:rsid w:val="00343893"/>
    <w:rsid w:val="00345489"/>
    <w:rsid w:val="00347378"/>
    <w:rsid w:val="00347A2C"/>
    <w:rsid w:val="00357EC9"/>
    <w:rsid w:val="00366592"/>
    <w:rsid w:val="00366816"/>
    <w:rsid w:val="003670B8"/>
    <w:rsid w:val="00370DBA"/>
    <w:rsid w:val="00382AC6"/>
    <w:rsid w:val="00386622"/>
    <w:rsid w:val="00393502"/>
    <w:rsid w:val="003B5FBC"/>
    <w:rsid w:val="003C2542"/>
    <w:rsid w:val="003C288C"/>
    <w:rsid w:val="003C2D4C"/>
    <w:rsid w:val="003C3101"/>
    <w:rsid w:val="003C727C"/>
    <w:rsid w:val="003D20C7"/>
    <w:rsid w:val="003D2923"/>
    <w:rsid w:val="003D726F"/>
    <w:rsid w:val="003D7867"/>
    <w:rsid w:val="003E067E"/>
    <w:rsid w:val="003E161A"/>
    <w:rsid w:val="003E34BE"/>
    <w:rsid w:val="003E43F4"/>
    <w:rsid w:val="003F134B"/>
    <w:rsid w:val="00401B50"/>
    <w:rsid w:val="00404DD1"/>
    <w:rsid w:val="00407692"/>
    <w:rsid w:val="0041342D"/>
    <w:rsid w:val="00414CA2"/>
    <w:rsid w:val="004155F4"/>
    <w:rsid w:val="00424EC6"/>
    <w:rsid w:val="00433342"/>
    <w:rsid w:val="00434A9C"/>
    <w:rsid w:val="00441527"/>
    <w:rsid w:val="00442E7B"/>
    <w:rsid w:val="00443B3C"/>
    <w:rsid w:val="004506E4"/>
    <w:rsid w:val="00457007"/>
    <w:rsid w:val="004571BE"/>
    <w:rsid w:val="0045777A"/>
    <w:rsid w:val="00461FC0"/>
    <w:rsid w:val="004652B6"/>
    <w:rsid w:val="004827AD"/>
    <w:rsid w:val="004839B3"/>
    <w:rsid w:val="004852D1"/>
    <w:rsid w:val="00486049"/>
    <w:rsid w:val="00486831"/>
    <w:rsid w:val="004868DB"/>
    <w:rsid w:val="00493904"/>
    <w:rsid w:val="004954C4"/>
    <w:rsid w:val="004B04B1"/>
    <w:rsid w:val="004C22B0"/>
    <w:rsid w:val="004C4663"/>
    <w:rsid w:val="004C6358"/>
    <w:rsid w:val="004D397F"/>
    <w:rsid w:val="004D4770"/>
    <w:rsid w:val="004E17D6"/>
    <w:rsid w:val="004E2884"/>
    <w:rsid w:val="004E43DB"/>
    <w:rsid w:val="004E4FA5"/>
    <w:rsid w:val="004F072A"/>
    <w:rsid w:val="004F7D59"/>
    <w:rsid w:val="0050214D"/>
    <w:rsid w:val="00512BD3"/>
    <w:rsid w:val="00515DE7"/>
    <w:rsid w:val="00517578"/>
    <w:rsid w:val="00530E4C"/>
    <w:rsid w:val="00543C76"/>
    <w:rsid w:val="005528F4"/>
    <w:rsid w:val="00556536"/>
    <w:rsid w:val="00556D11"/>
    <w:rsid w:val="00557D5E"/>
    <w:rsid w:val="005620AC"/>
    <w:rsid w:val="005658CD"/>
    <w:rsid w:val="00565F70"/>
    <w:rsid w:val="00583E11"/>
    <w:rsid w:val="005925B0"/>
    <w:rsid w:val="00594023"/>
    <w:rsid w:val="005A2B56"/>
    <w:rsid w:val="005A53DC"/>
    <w:rsid w:val="005B2617"/>
    <w:rsid w:val="005B2A50"/>
    <w:rsid w:val="005B355B"/>
    <w:rsid w:val="005B4391"/>
    <w:rsid w:val="005B7AD4"/>
    <w:rsid w:val="005B7C79"/>
    <w:rsid w:val="005C0762"/>
    <w:rsid w:val="005C2521"/>
    <w:rsid w:val="005C3307"/>
    <w:rsid w:val="005D3A4D"/>
    <w:rsid w:val="005D3AC2"/>
    <w:rsid w:val="005D67AF"/>
    <w:rsid w:val="005E2023"/>
    <w:rsid w:val="005E25C0"/>
    <w:rsid w:val="005E762B"/>
    <w:rsid w:val="005F06F7"/>
    <w:rsid w:val="005F163D"/>
    <w:rsid w:val="005F1F28"/>
    <w:rsid w:val="005F274B"/>
    <w:rsid w:val="005F502D"/>
    <w:rsid w:val="005F781A"/>
    <w:rsid w:val="0060535D"/>
    <w:rsid w:val="00610270"/>
    <w:rsid w:val="00621A2B"/>
    <w:rsid w:val="00621F96"/>
    <w:rsid w:val="00622AB0"/>
    <w:rsid w:val="0062310B"/>
    <w:rsid w:val="006241B6"/>
    <w:rsid w:val="00631B46"/>
    <w:rsid w:val="00631D45"/>
    <w:rsid w:val="00633E6C"/>
    <w:rsid w:val="00634664"/>
    <w:rsid w:val="00640418"/>
    <w:rsid w:val="006412AD"/>
    <w:rsid w:val="006455C2"/>
    <w:rsid w:val="00646A52"/>
    <w:rsid w:val="00650FE2"/>
    <w:rsid w:val="00651633"/>
    <w:rsid w:val="006631A1"/>
    <w:rsid w:val="00665043"/>
    <w:rsid w:val="0067005C"/>
    <w:rsid w:val="00676DAC"/>
    <w:rsid w:val="00681FAA"/>
    <w:rsid w:val="00682003"/>
    <w:rsid w:val="006A5BAA"/>
    <w:rsid w:val="006A6560"/>
    <w:rsid w:val="006B6578"/>
    <w:rsid w:val="006B7ED4"/>
    <w:rsid w:val="006C0E73"/>
    <w:rsid w:val="006C68E2"/>
    <w:rsid w:val="006D6E67"/>
    <w:rsid w:val="006E368B"/>
    <w:rsid w:val="006E623C"/>
    <w:rsid w:val="006E6293"/>
    <w:rsid w:val="006F2C10"/>
    <w:rsid w:val="00702064"/>
    <w:rsid w:val="0070222A"/>
    <w:rsid w:val="00706D53"/>
    <w:rsid w:val="0071226E"/>
    <w:rsid w:val="00712AD2"/>
    <w:rsid w:val="00714B95"/>
    <w:rsid w:val="00714F8A"/>
    <w:rsid w:val="00720F6B"/>
    <w:rsid w:val="00721579"/>
    <w:rsid w:val="00723F77"/>
    <w:rsid w:val="00731D46"/>
    <w:rsid w:val="00734111"/>
    <w:rsid w:val="00735718"/>
    <w:rsid w:val="00740E31"/>
    <w:rsid w:val="00745586"/>
    <w:rsid w:val="00745A8F"/>
    <w:rsid w:val="00752569"/>
    <w:rsid w:val="00752C78"/>
    <w:rsid w:val="00760B0F"/>
    <w:rsid w:val="00765C22"/>
    <w:rsid w:val="007748CE"/>
    <w:rsid w:val="007760F1"/>
    <w:rsid w:val="00777C12"/>
    <w:rsid w:val="00791521"/>
    <w:rsid w:val="00795C6B"/>
    <w:rsid w:val="007A2F8B"/>
    <w:rsid w:val="007B269B"/>
    <w:rsid w:val="007B341D"/>
    <w:rsid w:val="007B5DE4"/>
    <w:rsid w:val="007B62D7"/>
    <w:rsid w:val="007B72AF"/>
    <w:rsid w:val="007C120A"/>
    <w:rsid w:val="007C3945"/>
    <w:rsid w:val="007D2014"/>
    <w:rsid w:val="007E30FC"/>
    <w:rsid w:val="007E3A7E"/>
    <w:rsid w:val="007E583D"/>
    <w:rsid w:val="007E5CC0"/>
    <w:rsid w:val="007F5437"/>
    <w:rsid w:val="007F7C5D"/>
    <w:rsid w:val="0080017D"/>
    <w:rsid w:val="00811027"/>
    <w:rsid w:val="00812D93"/>
    <w:rsid w:val="008227D6"/>
    <w:rsid w:val="008247AC"/>
    <w:rsid w:val="008419EA"/>
    <w:rsid w:val="008453BB"/>
    <w:rsid w:val="00845E8D"/>
    <w:rsid w:val="00850ED6"/>
    <w:rsid w:val="00851095"/>
    <w:rsid w:val="00891D7C"/>
    <w:rsid w:val="00895D76"/>
    <w:rsid w:val="0089614B"/>
    <w:rsid w:val="008970AA"/>
    <w:rsid w:val="008A1087"/>
    <w:rsid w:val="008A1D2B"/>
    <w:rsid w:val="008A3566"/>
    <w:rsid w:val="008A65ED"/>
    <w:rsid w:val="008C2EEE"/>
    <w:rsid w:val="008D39D0"/>
    <w:rsid w:val="008D4CA9"/>
    <w:rsid w:val="009005C1"/>
    <w:rsid w:val="00902612"/>
    <w:rsid w:val="00902C63"/>
    <w:rsid w:val="00917181"/>
    <w:rsid w:val="00922521"/>
    <w:rsid w:val="0092654B"/>
    <w:rsid w:val="00932D5D"/>
    <w:rsid w:val="0093542D"/>
    <w:rsid w:val="00936E58"/>
    <w:rsid w:val="00941A10"/>
    <w:rsid w:val="00943C78"/>
    <w:rsid w:val="00947996"/>
    <w:rsid w:val="00951560"/>
    <w:rsid w:val="00955D1A"/>
    <w:rsid w:val="009568DC"/>
    <w:rsid w:val="00962996"/>
    <w:rsid w:val="0096393E"/>
    <w:rsid w:val="00964485"/>
    <w:rsid w:val="009653C4"/>
    <w:rsid w:val="0096578A"/>
    <w:rsid w:val="00980450"/>
    <w:rsid w:val="00986979"/>
    <w:rsid w:val="00987AE5"/>
    <w:rsid w:val="00993297"/>
    <w:rsid w:val="009A03F7"/>
    <w:rsid w:val="009B1BF2"/>
    <w:rsid w:val="009B21E3"/>
    <w:rsid w:val="009B5FF3"/>
    <w:rsid w:val="009D0583"/>
    <w:rsid w:val="009D6DEB"/>
    <w:rsid w:val="009E506F"/>
    <w:rsid w:val="009E5547"/>
    <w:rsid w:val="009E6AEE"/>
    <w:rsid w:val="009F06D6"/>
    <w:rsid w:val="009F65ED"/>
    <w:rsid w:val="00A038E5"/>
    <w:rsid w:val="00A11A87"/>
    <w:rsid w:val="00A1486A"/>
    <w:rsid w:val="00A214DA"/>
    <w:rsid w:val="00A26C2F"/>
    <w:rsid w:val="00A45E3F"/>
    <w:rsid w:val="00A51E3F"/>
    <w:rsid w:val="00A63C92"/>
    <w:rsid w:val="00A64114"/>
    <w:rsid w:val="00A67582"/>
    <w:rsid w:val="00A737CC"/>
    <w:rsid w:val="00A90136"/>
    <w:rsid w:val="00A9018A"/>
    <w:rsid w:val="00AA1E28"/>
    <w:rsid w:val="00AA5912"/>
    <w:rsid w:val="00AB4F80"/>
    <w:rsid w:val="00AC351A"/>
    <w:rsid w:val="00AC5A07"/>
    <w:rsid w:val="00AC7161"/>
    <w:rsid w:val="00AE00E5"/>
    <w:rsid w:val="00AE1EE5"/>
    <w:rsid w:val="00AF5E9C"/>
    <w:rsid w:val="00B00F43"/>
    <w:rsid w:val="00B037AB"/>
    <w:rsid w:val="00B04583"/>
    <w:rsid w:val="00B12B7A"/>
    <w:rsid w:val="00B130F1"/>
    <w:rsid w:val="00B13271"/>
    <w:rsid w:val="00B15083"/>
    <w:rsid w:val="00B25FF2"/>
    <w:rsid w:val="00B3023E"/>
    <w:rsid w:val="00B327C4"/>
    <w:rsid w:val="00B33612"/>
    <w:rsid w:val="00B36BE5"/>
    <w:rsid w:val="00B40605"/>
    <w:rsid w:val="00B628ED"/>
    <w:rsid w:val="00B7044D"/>
    <w:rsid w:val="00B75742"/>
    <w:rsid w:val="00B82FFB"/>
    <w:rsid w:val="00B91BFB"/>
    <w:rsid w:val="00BA2526"/>
    <w:rsid w:val="00BB4AB3"/>
    <w:rsid w:val="00BD2663"/>
    <w:rsid w:val="00BD26EB"/>
    <w:rsid w:val="00BD3CA3"/>
    <w:rsid w:val="00BD4394"/>
    <w:rsid w:val="00BD6EEB"/>
    <w:rsid w:val="00BE1090"/>
    <w:rsid w:val="00BE516C"/>
    <w:rsid w:val="00BF6193"/>
    <w:rsid w:val="00BF620D"/>
    <w:rsid w:val="00BF70A4"/>
    <w:rsid w:val="00C05D0C"/>
    <w:rsid w:val="00C072C7"/>
    <w:rsid w:val="00C12382"/>
    <w:rsid w:val="00C17FBE"/>
    <w:rsid w:val="00C20535"/>
    <w:rsid w:val="00C27BBB"/>
    <w:rsid w:val="00C334FB"/>
    <w:rsid w:val="00C36987"/>
    <w:rsid w:val="00C45E42"/>
    <w:rsid w:val="00C46C7A"/>
    <w:rsid w:val="00C51195"/>
    <w:rsid w:val="00C53130"/>
    <w:rsid w:val="00C53C70"/>
    <w:rsid w:val="00C61621"/>
    <w:rsid w:val="00C62D36"/>
    <w:rsid w:val="00C64D2C"/>
    <w:rsid w:val="00C74855"/>
    <w:rsid w:val="00C74F42"/>
    <w:rsid w:val="00C83033"/>
    <w:rsid w:val="00C85A0B"/>
    <w:rsid w:val="00C86E4A"/>
    <w:rsid w:val="00C96042"/>
    <w:rsid w:val="00CA5928"/>
    <w:rsid w:val="00CA747D"/>
    <w:rsid w:val="00CB4B0C"/>
    <w:rsid w:val="00CC04F5"/>
    <w:rsid w:val="00CC3FB4"/>
    <w:rsid w:val="00CC651E"/>
    <w:rsid w:val="00CD0333"/>
    <w:rsid w:val="00CD232A"/>
    <w:rsid w:val="00CD3631"/>
    <w:rsid w:val="00CD5776"/>
    <w:rsid w:val="00CE66A3"/>
    <w:rsid w:val="00CE740C"/>
    <w:rsid w:val="00CF2D4B"/>
    <w:rsid w:val="00D222A6"/>
    <w:rsid w:val="00D3491C"/>
    <w:rsid w:val="00D445D9"/>
    <w:rsid w:val="00D45F7B"/>
    <w:rsid w:val="00D5089F"/>
    <w:rsid w:val="00D8082B"/>
    <w:rsid w:val="00D81118"/>
    <w:rsid w:val="00D83AAE"/>
    <w:rsid w:val="00D87B7C"/>
    <w:rsid w:val="00D94AF4"/>
    <w:rsid w:val="00D961C1"/>
    <w:rsid w:val="00DA0607"/>
    <w:rsid w:val="00DA1550"/>
    <w:rsid w:val="00DB103B"/>
    <w:rsid w:val="00DC0E27"/>
    <w:rsid w:val="00DC22C6"/>
    <w:rsid w:val="00DC30F6"/>
    <w:rsid w:val="00DC3FED"/>
    <w:rsid w:val="00DC5522"/>
    <w:rsid w:val="00DD0509"/>
    <w:rsid w:val="00DD3B5D"/>
    <w:rsid w:val="00DD3F4F"/>
    <w:rsid w:val="00DE197A"/>
    <w:rsid w:val="00DE7CE2"/>
    <w:rsid w:val="00DF190B"/>
    <w:rsid w:val="00DF57B7"/>
    <w:rsid w:val="00E0013D"/>
    <w:rsid w:val="00E01854"/>
    <w:rsid w:val="00E20626"/>
    <w:rsid w:val="00E21314"/>
    <w:rsid w:val="00E26F7C"/>
    <w:rsid w:val="00E3787D"/>
    <w:rsid w:val="00E428CD"/>
    <w:rsid w:val="00E46A0C"/>
    <w:rsid w:val="00E54928"/>
    <w:rsid w:val="00E60138"/>
    <w:rsid w:val="00E61DEA"/>
    <w:rsid w:val="00E738A3"/>
    <w:rsid w:val="00E750BA"/>
    <w:rsid w:val="00E75B2C"/>
    <w:rsid w:val="00E82F17"/>
    <w:rsid w:val="00E838FC"/>
    <w:rsid w:val="00EA529D"/>
    <w:rsid w:val="00EA7F09"/>
    <w:rsid w:val="00EB789B"/>
    <w:rsid w:val="00EC4653"/>
    <w:rsid w:val="00ED44C2"/>
    <w:rsid w:val="00EE2741"/>
    <w:rsid w:val="00EE5B98"/>
    <w:rsid w:val="00EE76BE"/>
    <w:rsid w:val="00F00626"/>
    <w:rsid w:val="00F16778"/>
    <w:rsid w:val="00F20D9C"/>
    <w:rsid w:val="00F2315B"/>
    <w:rsid w:val="00F2551C"/>
    <w:rsid w:val="00F43B36"/>
    <w:rsid w:val="00F507D0"/>
    <w:rsid w:val="00F52CA3"/>
    <w:rsid w:val="00F57A37"/>
    <w:rsid w:val="00F57A6B"/>
    <w:rsid w:val="00F62270"/>
    <w:rsid w:val="00F6285A"/>
    <w:rsid w:val="00F732BE"/>
    <w:rsid w:val="00F736F8"/>
    <w:rsid w:val="00F74F0E"/>
    <w:rsid w:val="00F80AD2"/>
    <w:rsid w:val="00F844FC"/>
    <w:rsid w:val="00F872D5"/>
    <w:rsid w:val="00F87D9A"/>
    <w:rsid w:val="00F930B6"/>
    <w:rsid w:val="00F959E3"/>
    <w:rsid w:val="00FA1CF3"/>
    <w:rsid w:val="00FA3EEA"/>
    <w:rsid w:val="00FB3E7A"/>
    <w:rsid w:val="00FB5E43"/>
    <w:rsid w:val="00FC4E70"/>
    <w:rsid w:val="00FD102A"/>
    <w:rsid w:val="00FD76FE"/>
    <w:rsid w:val="00FE2DA6"/>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CE32A8-1616-4524-AF97-52FABD515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4664"/>
    <w:pPr>
      <w:ind w:left="720"/>
      <w:contextualSpacing/>
    </w:pPr>
  </w:style>
  <w:style w:type="character" w:styleId="Hyperlink">
    <w:name w:val="Hyperlink"/>
    <w:basedOn w:val="DefaultParagraphFont"/>
    <w:uiPriority w:val="99"/>
    <w:unhideWhenUsed/>
    <w:rsid w:val="00D8082B"/>
    <w:rPr>
      <w:color w:val="0000FF" w:themeColor="hyperlink"/>
      <w:u w:val="single"/>
    </w:rPr>
  </w:style>
  <w:style w:type="paragraph" w:styleId="BalloonText">
    <w:name w:val="Balloon Text"/>
    <w:basedOn w:val="Normal"/>
    <w:link w:val="BalloonTextChar"/>
    <w:uiPriority w:val="99"/>
    <w:semiHidden/>
    <w:unhideWhenUsed/>
    <w:rsid w:val="005925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25B0"/>
    <w:rPr>
      <w:rFonts w:ascii="Segoe UI" w:hAnsi="Segoe UI" w:cs="Segoe UI"/>
      <w:sz w:val="18"/>
      <w:szCs w:val="18"/>
    </w:rPr>
  </w:style>
  <w:style w:type="paragraph" w:styleId="Header">
    <w:name w:val="header"/>
    <w:basedOn w:val="Normal"/>
    <w:link w:val="HeaderChar"/>
    <w:uiPriority w:val="99"/>
    <w:unhideWhenUsed/>
    <w:rsid w:val="002459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5952"/>
  </w:style>
  <w:style w:type="paragraph" w:styleId="Footer">
    <w:name w:val="footer"/>
    <w:basedOn w:val="Normal"/>
    <w:link w:val="FooterChar"/>
    <w:uiPriority w:val="99"/>
    <w:unhideWhenUsed/>
    <w:rsid w:val="002459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5952"/>
  </w:style>
  <w:style w:type="character" w:customStyle="1" w:styleId="tlid-translation">
    <w:name w:val="tlid-translation"/>
    <w:rsid w:val="00245952"/>
  </w:style>
  <w:style w:type="character" w:styleId="UnresolvedMention">
    <w:name w:val="Unresolved Mention"/>
    <w:basedOn w:val="DefaultParagraphFont"/>
    <w:uiPriority w:val="99"/>
    <w:semiHidden/>
    <w:unhideWhenUsed/>
    <w:rsid w:val="00CD3631"/>
    <w:rPr>
      <w:color w:val="605E5C"/>
      <w:shd w:val="clear" w:color="auto" w:fill="E1DFDD"/>
    </w:rPr>
  </w:style>
  <w:style w:type="table" w:styleId="TableGrid">
    <w:name w:val="Table Grid"/>
    <w:basedOn w:val="TableNormal"/>
    <w:uiPriority w:val="59"/>
    <w:rsid w:val="0096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fianburhanuddi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FA6AF-EF43-49FE-BC5F-C3A7AE7A8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12</Pages>
  <Words>31807</Words>
  <Characters>181303</Characters>
  <Application>Microsoft Office Word</Application>
  <DocSecurity>0</DocSecurity>
  <Lines>1510</Lines>
  <Paragraphs>425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Firaun</dc:creator>
  <cp:lastModifiedBy>MASTER</cp:lastModifiedBy>
  <cp:revision>61</cp:revision>
  <dcterms:created xsi:type="dcterms:W3CDTF">2023-07-12T13:57:00Z</dcterms:created>
  <dcterms:modified xsi:type="dcterms:W3CDTF">2023-08-14T00:45:00Z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Citation Style_1">
    <vt:lpwstr>http://www.zotero.org/styles/apa</vt:lpwstr>
  </property>
  <property fmtid="{D5CDD505-2E9C-101B-9397-08002B2CF9AE}" pid="3" name="Mendeley Document_1">
    <vt:lpwstr>True</vt:lpwstr>
  </property>
  <property fmtid="{D5CDD505-2E9C-101B-9397-08002B2CF9AE}" pid="4" name="Mendeley Recent Style Id 0_1">
    <vt:lpwstr>http://www.zotero.org/styles/american-medical-association</vt:lpwstr>
  </property>
  <property fmtid="{D5CDD505-2E9C-101B-9397-08002B2CF9AE}" pid="5" name="Mendeley Recent Style Id 1_1">
    <vt:lpwstr>http://www.zotero.org/styles/american-political-science-association</vt:lpwstr>
  </property>
  <property fmtid="{D5CDD505-2E9C-101B-9397-08002B2CF9AE}" pid="6" name="Mendeley Recent Style Id 2_1">
    <vt:lpwstr>http://www.zotero.org/styles/apa</vt:lpwstr>
  </property>
  <property fmtid="{D5CDD505-2E9C-101B-9397-08002B2CF9AE}" pid="7" name="Mendeley Recent Style Id 3_1">
    <vt:lpwstr>http://www.zotero.org/styles/american-sociological-association</vt:lpwstr>
  </property>
  <property fmtid="{D5CDD505-2E9C-101B-9397-08002B2CF9AE}" pid="8" name="Mendeley Recent Style Id 4_1">
    <vt:lpwstr>http://www.zotero.org/styles/chicago-author-date</vt:lpwstr>
  </property>
  <property fmtid="{D5CDD505-2E9C-101B-9397-08002B2CF9AE}" pid="9" name="Mendeley Recent Style Id 5_1">
    <vt:lpwstr>http://www.zotero.org/styles/harvard-cite-them-right</vt:lpwstr>
  </property>
  <property fmtid="{D5CDD505-2E9C-101B-9397-08002B2CF9AE}" pid="10" name="Mendeley Recent Style Id 6_1">
    <vt:lpwstr>http://www.zotero.org/styles/ieee</vt:lpwstr>
  </property>
  <property fmtid="{D5CDD505-2E9C-101B-9397-08002B2CF9AE}" pid="11" name="Mendeley Recent Style Id 7_1">
    <vt:lpwstr>http://www.zotero.org/styles/modern-humanities-research-association</vt:lpwstr>
  </property>
  <property fmtid="{D5CDD505-2E9C-101B-9397-08002B2CF9AE}" pid="12" name="Mendeley Recent Style Id 8_1">
    <vt:lpwstr>http://www.zotero.org/styles/modern-language-association</vt:lpwstr>
  </property>
  <property fmtid="{D5CDD505-2E9C-101B-9397-08002B2CF9AE}" pid="13" name="Mendeley Recent Style Id 9_1">
    <vt:lpwstr>http://www.zotero.org/styles/nature</vt:lpwstr>
  </property>
  <property fmtid="{D5CDD505-2E9C-101B-9397-08002B2CF9AE}" pid="14" name="Mendeley Recent Style Name 0_1">
    <vt:lpwstr>American Medical Association 11th edition</vt:lpwstr>
  </property>
  <property fmtid="{D5CDD505-2E9C-101B-9397-08002B2CF9AE}" pid="15" name="Mendeley Recent Style Name 1_1">
    <vt:lpwstr>American Political Science Association</vt:lpwstr>
  </property>
  <property fmtid="{D5CDD505-2E9C-101B-9397-08002B2CF9AE}" pid="16" name="Mendeley Recent Style Name 2_1">
    <vt:lpwstr>American Psychological Association 7th edition</vt:lpwstr>
  </property>
  <property fmtid="{D5CDD505-2E9C-101B-9397-08002B2CF9AE}" pid="17" name="Mendeley Recent Style Name 3_1">
    <vt:lpwstr>American Sociological Association 6th edition</vt:lpwstr>
  </property>
  <property fmtid="{D5CDD505-2E9C-101B-9397-08002B2CF9AE}" pid="18" name="Mendeley Recent Style Name 4_1">
    <vt:lpwstr>Chicago Manual of Style 17th edition (author-date)</vt:lpwstr>
  </property>
  <property fmtid="{D5CDD505-2E9C-101B-9397-08002B2CF9AE}" pid="19" name="Mendeley Recent Style Name 5_1">
    <vt:lpwstr>Cite Them Right 12th edition - Harvard</vt:lpwstr>
  </property>
  <property fmtid="{D5CDD505-2E9C-101B-9397-08002B2CF9AE}" pid="20" name="Mendeley Recent Style Name 6_1">
    <vt:lpwstr>IEEE</vt:lpwstr>
  </property>
  <property fmtid="{D5CDD505-2E9C-101B-9397-08002B2CF9AE}" pid="21" name="Mendeley Recent Style Name 7_1">
    <vt:lpwstr>Modern Humanities Research Association 3rd edition (note with bibliography)</vt:lpwstr>
  </property>
  <property fmtid="{D5CDD505-2E9C-101B-9397-08002B2CF9AE}" pid="22" name="Mendeley Recent Style Name 8_1">
    <vt:lpwstr>Modern Language Association 9th edition</vt:lpwstr>
  </property>
  <property fmtid="{D5CDD505-2E9C-101B-9397-08002B2CF9AE}" pid="23" name="Mendeley Recent Style Name 9_1">
    <vt:lpwstr>Nature</vt:lpwstr>
  </property>
  <property fmtid="{D5CDD505-2E9C-101B-9397-08002B2CF9AE}" pid="24" name="Mendeley Unique User Id_1">
    <vt:lpwstr>dce45f6f-3275-3a55-b544-2c254507a315</vt:lpwstr>
  </property>
  <property fmtid="{D5CDD505-2E9C-101B-9397-08002B2CF9AE}" pid="25" name="GrammarlyDocumentId">
    <vt:lpwstr>8108908ea05235c3606a5db8665af149308c92b32572b9548948e51ff50255fd</vt:lpwstr>
  </property>
</Properties>
</file>