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625"/>
        <w:gridCol w:w="4230"/>
        <w:gridCol w:w="4465"/>
      </w:tblGrid>
      <w:tr w:rsidR="00D2370A" w14:paraId="1C337DF3" w14:textId="77777777" w:rsidTr="004A706F">
        <w:trPr>
          <w:trHeight w:val="386"/>
        </w:trPr>
        <w:tc>
          <w:tcPr>
            <w:tcW w:w="625" w:type="dxa"/>
          </w:tcPr>
          <w:p w14:paraId="029DB48E" w14:textId="77777777" w:rsidR="00D2370A" w:rsidRPr="00502F9E" w:rsidRDefault="00D2370A" w:rsidP="004A706F">
            <w:pPr>
              <w:jc w:val="center"/>
              <w:rPr>
                <w:color w:val="000000"/>
                <w:sz w:val="20"/>
                <w:szCs w:val="20"/>
              </w:rPr>
            </w:pPr>
            <w:r>
              <w:rPr>
                <w:color w:val="000000"/>
                <w:sz w:val="20"/>
                <w:szCs w:val="20"/>
              </w:rPr>
              <w:t>No.</w:t>
            </w:r>
          </w:p>
        </w:tc>
        <w:tc>
          <w:tcPr>
            <w:tcW w:w="4230" w:type="dxa"/>
          </w:tcPr>
          <w:p w14:paraId="7724552B" w14:textId="77777777" w:rsidR="00D2370A" w:rsidRPr="00502F9E" w:rsidRDefault="00D2370A" w:rsidP="004A706F">
            <w:pPr>
              <w:jc w:val="center"/>
              <w:rPr>
                <w:color w:val="000000"/>
                <w:sz w:val="20"/>
                <w:szCs w:val="20"/>
              </w:rPr>
            </w:pPr>
            <w:r>
              <w:rPr>
                <w:color w:val="000000"/>
                <w:sz w:val="20"/>
                <w:szCs w:val="20"/>
              </w:rPr>
              <w:t>Robot Trading Legal</w:t>
            </w:r>
          </w:p>
        </w:tc>
        <w:tc>
          <w:tcPr>
            <w:tcW w:w="4465" w:type="dxa"/>
          </w:tcPr>
          <w:p w14:paraId="47E44B8F" w14:textId="77777777" w:rsidR="00D2370A" w:rsidRDefault="00D2370A" w:rsidP="004A706F">
            <w:pPr>
              <w:jc w:val="center"/>
              <w:rPr>
                <w:color w:val="000000"/>
                <w:sz w:val="20"/>
                <w:szCs w:val="20"/>
              </w:rPr>
            </w:pPr>
            <w:r>
              <w:rPr>
                <w:color w:val="000000"/>
                <w:sz w:val="20"/>
                <w:szCs w:val="20"/>
              </w:rPr>
              <w:t>Robot Trading Ilegal</w:t>
            </w:r>
          </w:p>
        </w:tc>
      </w:tr>
      <w:tr w:rsidR="00D2370A" w14:paraId="110D0FF4" w14:textId="77777777" w:rsidTr="004A706F">
        <w:trPr>
          <w:trHeight w:val="719"/>
        </w:trPr>
        <w:tc>
          <w:tcPr>
            <w:tcW w:w="625" w:type="dxa"/>
          </w:tcPr>
          <w:p w14:paraId="7E739450" w14:textId="77777777" w:rsidR="00D2370A" w:rsidRPr="00502F9E" w:rsidRDefault="00D2370A" w:rsidP="004A706F">
            <w:pPr>
              <w:jc w:val="both"/>
              <w:rPr>
                <w:color w:val="000000"/>
                <w:sz w:val="20"/>
                <w:szCs w:val="20"/>
              </w:rPr>
            </w:pPr>
            <w:r>
              <w:rPr>
                <w:color w:val="000000"/>
                <w:sz w:val="20"/>
                <w:szCs w:val="20"/>
              </w:rPr>
              <w:t>1.</w:t>
            </w:r>
          </w:p>
        </w:tc>
        <w:tc>
          <w:tcPr>
            <w:tcW w:w="4230" w:type="dxa"/>
          </w:tcPr>
          <w:p w14:paraId="330DB461" w14:textId="77777777" w:rsidR="00D2370A" w:rsidRPr="00502F9E" w:rsidRDefault="00D2370A" w:rsidP="004A706F">
            <w:pPr>
              <w:rPr>
                <w:color w:val="000000"/>
                <w:sz w:val="20"/>
                <w:szCs w:val="20"/>
              </w:rPr>
            </w:pPr>
            <w:r>
              <w:rPr>
                <w:color w:val="000000"/>
                <w:sz w:val="20"/>
                <w:szCs w:val="20"/>
              </w:rPr>
              <w:t>Memiliki izin usaha atau persetujuan dari Bappebti atau OJK (Pasal 2 ayat 3)</w:t>
            </w:r>
          </w:p>
        </w:tc>
        <w:tc>
          <w:tcPr>
            <w:tcW w:w="4465" w:type="dxa"/>
          </w:tcPr>
          <w:p w14:paraId="2FCDB5B2" w14:textId="77777777" w:rsidR="00D2370A" w:rsidRDefault="00D2370A" w:rsidP="004A706F">
            <w:pPr>
              <w:rPr>
                <w:color w:val="000000"/>
                <w:sz w:val="20"/>
                <w:szCs w:val="20"/>
              </w:rPr>
            </w:pPr>
            <w:r>
              <w:rPr>
                <w:color w:val="000000"/>
                <w:sz w:val="20"/>
                <w:szCs w:val="20"/>
              </w:rPr>
              <w:t xml:space="preserve">Tidak memiliki izin usaha atau persetujuan dari Bappebti atau OJK </w:t>
            </w:r>
          </w:p>
          <w:p w14:paraId="01C039F2" w14:textId="77777777" w:rsidR="00D2370A" w:rsidRDefault="00D2370A" w:rsidP="004A706F">
            <w:pPr>
              <w:rPr>
                <w:color w:val="000000"/>
                <w:sz w:val="20"/>
                <w:szCs w:val="20"/>
              </w:rPr>
            </w:pPr>
          </w:p>
          <w:p w14:paraId="467BA8F1" w14:textId="77777777" w:rsidR="00D2370A" w:rsidRDefault="00D2370A" w:rsidP="004A706F">
            <w:pPr>
              <w:rPr>
                <w:color w:val="000000"/>
                <w:sz w:val="20"/>
                <w:szCs w:val="20"/>
              </w:rPr>
            </w:pPr>
          </w:p>
        </w:tc>
      </w:tr>
      <w:tr w:rsidR="00D2370A" w14:paraId="72902622" w14:textId="77777777" w:rsidTr="004A706F">
        <w:trPr>
          <w:trHeight w:val="746"/>
        </w:trPr>
        <w:tc>
          <w:tcPr>
            <w:tcW w:w="625" w:type="dxa"/>
          </w:tcPr>
          <w:p w14:paraId="3D29CB6C" w14:textId="77777777" w:rsidR="00D2370A" w:rsidRPr="00497733" w:rsidRDefault="00D2370A" w:rsidP="004A706F">
            <w:pPr>
              <w:jc w:val="both"/>
              <w:rPr>
                <w:color w:val="000000"/>
                <w:sz w:val="20"/>
                <w:szCs w:val="20"/>
              </w:rPr>
            </w:pPr>
            <w:r w:rsidRPr="00497733">
              <w:rPr>
                <w:color w:val="000000"/>
                <w:sz w:val="20"/>
                <w:szCs w:val="20"/>
              </w:rPr>
              <w:t>2.</w:t>
            </w:r>
          </w:p>
        </w:tc>
        <w:tc>
          <w:tcPr>
            <w:tcW w:w="4230" w:type="dxa"/>
          </w:tcPr>
          <w:p w14:paraId="076DC887" w14:textId="77777777" w:rsidR="00D2370A" w:rsidRPr="00EC7C4A" w:rsidRDefault="00D2370A" w:rsidP="004A706F">
            <w:pPr>
              <w:jc w:val="both"/>
              <w:rPr>
                <w:color w:val="000000"/>
                <w:sz w:val="20"/>
                <w:szCs w:val="20"/>
              </w:rPr>
            </w:pPr>
            <w:r w:rsidRPr="00EC7C4A">
              <w:rPr>
                <w:color w:val="000000"/>
                <w:sz w:val="20"/>
                <w:szCs w:val="20"/>
              </w:rPr>
              <w:t>Memiliki aplikasi, sistem, atau program sendir</w:t>
            </w:r>
            <w:r>
              <w:rPr>
                <w:color w:val="000000"/>
                <w:sz w:val="20"/>
                <w:szCs w:val="20"/>
              </w:rPr>
              <w:t>i</w:t>
            </w:r>
            <w:r w:rsidRPr="00EC7C4A">
              <w:rPr>
                <w:color w:val="000000"/>
                <w:sz w:val="20"/>
                <w:szCs w:val="20"/>
              </w:rPr>
              <w:t xml:space="preserve"> (Pasal 4 ayat </w:t>
            </w:r>
            <w:r>
              <w:rPr>
                <w:color w:val="000000"/>
                <w:sz w:val="20"/>
                <w:szCs w:val="20"/>
              </w:rPr>
              <w:t>3</w:t>
            </w:r>
            <w:r w:rsidRPr="00EC7C4A">
              <w:rPr>
                <w:color w:val="000000"/>
                <w:sz w:val="20"/>
                <w:szCs w:val="20"/>
              </w:rPr>
              <w:t>)</w:t>
            </w:r>
          </w:p>
        </w:tc>
        <w:tc>
          <w:tcPr>
            <w:tcW w:w="4465" w:type="dxa"/>
          </w:tcPr>
          <w:p w14:paraId="19B291CD" w14:textId="77777777" w:rsidR="00D2370A" w:rsidRPr="00EC7C4A" w:rsidRDefault="00D2370A" w:rsidP="004A706F">
            <w:pPr>
              <w:jc w:val="both"/>
              <w:rPr>
                <w:color w:val="000000"/>
                <w:sz w:val="20"/>
                <w:szCs w:val="20"/>
              </w:rPr>
            </w:pPr>
            <w:r>
              <w:rPr>
                <w:color w:val="000000"/>
                <w:sz w:val="20"/>
                <w:szCs w:val="20"/>
              </w:rPr>
              <w:t>Tidak m</w:t>
            </w:r>
            <w:r w:rsidRPr="00EC7C4A">
              <w:rPr>
                <w:color w:val="000000"/>
                <w:sz w:val="20"/>
                <w:szCs w:val="20"/>
              </w:rPr>
              <w:t xml:space="preserve">emiliki aplikasi, sistem, atau program sendiri </w:t>
            </w:r>
          </w:p>
        </w:tc>
      </w:tr>
      <w:tr w:rsidR="00D2370A" w14:paraId="6D0356CF" w14:textId="77777777" w:rsidTr="004A706F">
        <w:trPr>
          <w:trHeight w:val="1061"/>
        </w:trPr>
        <w:tc>
          <w:tcPr>
            <w:tcW w:w="625" w:type="dxa"/>
          </w:tcPr>
          <w:p w14:paraId="1F13DD31" w14:textId="77777777" w:rsidR="00D2370A" w:rsidRPr="00170D92" w:rsidRDefault="00D2370A" w:rsidP="004A706F">
            <w:pPr>
              <w:jc w:val="both"/>
              <w:rPr>
                <w:color w:val="000000"/>
                <w:sz w:val="20"/>
                <w:szCs w:val="20"/>
              </w:rPr>
            </w:pPr>
            <w:r w:rsidRPr="00170D92">
              <w:rPr>
                <w:color w:val="000000"/>
                <w:sz w:val="20"/>
                <w:szCs w:val="20"/>
              </w:rPr>
              <w:t>3.</w:t>
            </w:r>
          </w:p>
        </w:tc>
        <w:tc>
          <w:tcPr>
            <w:tcW w:w="4230" w:type="dxa"/>
          </w:tcPr>
          <w:p w14:paraId="58195792" w14:textId="77777777" w:rsidR="00D2370A" w:rsidRPr="00170D92" w:rsidRDefault="00D2370A" w:rsidP="004A706F">
            <w:pPr>
              <w:jc w:val="both"/>
              <w:rPr>
                <w:color w:val="000000"/>
                <w:sz w:val="20"/>
                <w:szCs w:val="20"/>
              </w:rPr>
            </w:pPr>
            <w:r w:rsidRPr="00170D92">
              <w:rPr>
                <w:color w:val="000000"/>
                <w:sz w:val="20"/>
                <w:szCs w:val="20"/>
              </w:rPr>
              <w:t xml:space="preserve">Penasihat berjangka </w:t>
            </w:r>
            <w:r>
              <w:rPr>
                <w:color w:val="000000"/>
                <w:sz w:val="20"/>
                <w:szCs w:val="20"/>
              </w:rPr>
              <w:t>dilarang</w:t>
            </w:r>
            <w:r w:rsidRPr="00170D92">
              <w:rPr>
                <w:color w:val="000000"/>
                <w:sz w:val="20"/>
                <w:szCs w:val="20"/>
              </w:rPr>
              <w:t xml:space="preserve"> menjanjikan profit pasti kepada klien atau pengguna Robot Trading (Pasal 5 ayat 3 huruf a)</w:t>
            </w:r>
          </w:p>
        </w:tc>
        <w:tc>
          <w:tcPr>
            <w:tcW w:w="4465" w:type="dxa"/>
          </w:tcPr>
          <w:p w14:paraId="5F4173C6" w14:textId="77777777" w:rsidR="00D2370A" w:rsidRPr="00170D92" w:rsidRDefault="00D2370A" w:rsidP="004A706F">
            <w:pPr>
              <w:jc w:val="both"/>
              <w:rPr>
                <w:color w:val="000000"/>
                <w:sz w:val="20"/>
                <w:szCs w:val="20"/>
              </w:rPr>
            </w:pPr>
            <w:r w:rsidRPr="00170D92">
              <w:rPr>
                <w:color w:val="000000"/>
                <w:sz w:val="20"/>
                <w:szCs w:val="20"/>
              </w:rPr>
              <w:t>Penasihat berjangka menjanjikan profit pasti kepada klien atau pengguna Robot Trading</w:t>
            </w:r>
          </w:p>
        </w:tc>
      </w:tr>
      <w:tr w:rsidR="00D2370A" w14:paraId="5F39F9F9" w14:textId="77777777" w:rsidTr="004A706F">
        <w:trPr>
          <w:trHeight w:val="1169"/>
        </w:trPr>
        <w:tc>
          <w:tcPr>
            <w:tcW w:w="625" w:type="dxa"/>
          </w:tcPr>
          <w:p w14:paraId="342621E9" w14:textId="77777777" w:rsidR="00D2370A" w:rsidRPr="00170D92" w:rsidRDefault="00D2370A" w:rsidP="004A706F">
            <w:pPr>
              <w:jc w:val="both"/>
              <w:rPr>
                <w:color w:val="000000"/>
                <w:sz w:val="20"/>
                <w:szCs w:val="20"/>
              </w:rPr>
            </w:pPr>
            <w:r w:rsidRPr="00170D92">
              <w:rPr>
                <w:color w:val="000000"/>
                <w:sz w:val="20"/>
                <w:szCs w:val="20"/>
              </w:rPr>
              <w:t>4.</w:t>
            </w:r>
          </w:p>
        </w:tc>
        <w:tc>
          <w:tcPr>
            <w:tcW w:w="4230" w:type="dxa"/>
          </w:tcPr>
          <w:p w14:paraId="35EFB1E6" w14:textId="77777777" w:rsidR="00D2370A" w:rsidRPr="00170D92" w:rsidRDefault="00D2370A" w:rsidP="004A706F">
            <w:pPr>
              <w:jc w:val="both"/>
              <w:rPr>
                <w:color w:val="000000"/>
                <w:sz w:val="20"/>
                <w:szCs w:val="20"/>
              </w:rPr>
            </w:pPr>
            <w:r w:rsidRPr="00170D92">
              <w:rPr>
                <w:color w:val="000000"/>
                <w:sz w:val="20"/>
                <w:szCs w:val="20"/>
              </w:rPr>
              <w:t xml:space="preserve">Penasihat berjangka </w:t>
            </w:r>
            <w:r>
              <w:rPr>
                <w:color w:val="000000"/>
                <w:sz w:val="20"/>
                <w:szCs w:val="20"/>
              </w:rPr>
              <w:t xml:space="preserve">dilarang </w:t>
            </w:r>
            <w:r w:rsidRPr="00170D92">
              <w:rPr>
                <w:color w:val="000000"/>
                <w:sz w:val="20"/>
                <w:szCs w:val="20"/>
              </w:rPr>
              <w:t>menawarkan pembagian keuntungan (profit sharing) dari penggunaan Robot Trading (Pasal 5 ayat 3 huruf d)</w:t>
            </w:r>
          </w:p>
        </w:tc>
        <w:tc>
          <w:tcPr>
            <w:tcW w:w="4465" w:type="dxa"/>
          </w:tcPr>
          <w:p w14:paraId="47889E9E" w14:textId="77777777" w:rsidR="00D2370A" w:rsidRPr="00170D92" w:rsidRDefault="00D2370A" w:rsidP="004A706F">
            <w:pPr>
              <w:jc w:val="both"/>
              <w:rPr>
                <w:color w:val="000000"/>
                <w:sz w:val="20"/>
                <w:szCs w:val="20"/>
              </w:rPr>
            </w:pPr>
            <w:r w:rsidRPr="00170D92">
              <w:rPr>
                <w:color w:val="000000"/>
                <w:sz w:val="20"/>
                <w:szCs w:val="20"/>
              </w:rPr>
              <w:t xml:space="preserve">Penasihat berjangka menawarkan pembagian keuntungan (profit sharing) dari penggunaan Robot Trading </w:t>
            </w:r>
          </w:p>
        </w:tc>
      </w:tr>
      <w:tr w:rsidR="00D2370A" w14:paraId="12018D3B" w14:textId="77777777" w:rsidTr="004A706F">
        <w:trPr>
          <w:trHeight w:val="1061"/>
        </w:trPr>
        <w:tc>
          <w:tcPr>
            <w:tcW w:w="625" w:type="dxa"/>
          </w:tcPr>
          <w:p w14:paraId="4E37B8D9" w14:textId="77777777" w:rsidR="00D2370A" w:rsidRPr="003F1FA9" w:rsidRDefault="00D2370A" w:rsidP="004A706F">
            <w:pPr>
              <w:jc w:val="both"/>
              <w:rPr>
                <w:color w:val="000000"/>
                <w:sz w:val="20"/>
                <w:szCs w:val="20"/>
              </w:rPr>
            </w:pPr>
            <w:r w:rsidRPr="003F1FA9">
              <w:rPr>
                <w:color w:val="000000"/>
                <w:sz w:val="20"/>
                <w:szCs w:val="20"/>
              </w:rPr>
              <w:t>5.</w:t>
            </w:r>
          </w:p>
        </w:tc>
        <w:tc>
          <w:tcPr>
            <w:tcW w:w="4230" w:type="dxa"/>
          </w:tcPr>
          <w:p w14:paraId="4ABB2C2E" w14:textId="77777777" w:rsidR="00D2370A" w:rsidRPr="003F1FA9" w:rsidRDefault="00D2370A" w:rsidP="004A706F">
            <w:pPr>
              <w:jc w:val="both"/>
              <w:rPr>
                <w:color w:val="000000"/>
                <w:sz w:val="20"/>
                <w:szCs w:val="20"/>
              </w:rPr>
            </w:pPr>
            <w:r w:rsidRPr="003F1FA9">
              <w:rPr>
                <w:color w:val="000000"/>
                <w:sz w:val="20"/>
                <w:szCs w:val="20"/>
              </w:rPr>
              <w:t>Penasihat berjangka dilarang melakukan penjualan langsung (MLM) dalam memasarkan robot trading (Pasal 5 ayat ayat 3 huruf f)</w:t>
            </w:r>
          </w:p>
        </w:tc>
        <w:tc>
          <w:tcPr>
            <w:tcW w:w="4465" w:type="dxa"/>
          </w:tcPr>
          <w:p w14:paraId="099AC844" w14:textId="77777777" w:rsidR="00D2370A" w:rsidRPr="003F1FA9" w:rsidRDefault="00D2370A" w:rsidP="004A706F">
            <w:pPr>
              <w:jc w:val="both"/>
              <w:rPr>
                <w:color w:val="000000"/>
                <w:sz w:val="20"/>
                <w:szCs w:val="20"/>
              </w:rPr>
            </w:pPr>
            <w:r w:rsidRPr="003F1FA9">
              <w:rPr>
                <w:color w:val="000000"/>
                <w:sz w:val="20"/>
                <w:szCs w:val="20"/>
              </w:rPr>
              <w:t>Penasihat berjangka menggunakan skema ponzi dalam memasarkan robot trading</w:t>
            </w:r>
          </w:p>
        </w:tc>
      </w:tr>
      <w:tr w:rsidR="00D2370A" w14:paraId="3C8A096B" w14:textId="77777777" w:rsidTr="004A706F">
        <w:trPr>
          <w:trHeight w:val="1079"/>
        </w:trPr>
        <w:tc>
          <w:tcPr>
            <w:tcW w:w="625" w:type="dxa"/>
          </w:tcPr>
          <w:p w14:paraId="6093D092" w14:textId="77777777" w:rsidR="00D2370A" w:rsidRPr="00170D92" w:rsidRDefault="00D2370A" w:rsidP="004A706F">
            <w:pPr>
              <w:jc w:val="both"/>
              <w:rPr>
                <w:color w:val="000000"/>
                <w:sz w:val="20"/>
                <w:szCs w:val="20"/>
              </w:rPr>
            </w:pPr>
            <w:r>
              <w:rPr>
                <w:color w:val="000000"/>
                <w:sz w:val="20"/>
                <w:szCs w:val="20"/>
              </w:rPr>
              <w:t>6</w:t>
            </w:r>
            <w:r w:rsidRPr="00170D92">
              <w:rPr>
                <w:color w:val="000000"/>
                <w:sz w:val="20"/>
                <w:szCs w:val="20"/>
              </w:rPr>
              <w:t>.</w:t>
            </w:r>
          </w:p>
        </w:tc>
        <w:tc>
          <w:tcPr>
            <w:tcW w:w="4230" w:type="dxa"/>
          </w:tcPr>
          <w:p w14:paraId="21B55D76" w14:textId="77777777" w:rsidR="00D2370A" w:rsidRDefault="00D2370A" w:rsidP="004A706F">
            <w:pPr>
              <w:jc w:val="both"/>
              <w:rPr>
                <w:color w:val="000000"/>
                <w:sz w:val="20"/>
                <w:szCs w:val="20"/>
              </w:rPr>
            </w:pPr>
            <w:r w:rsidRPr="00170D92">
              <w:rPr>
                <w:color w:val="000000"/>
                <w:sz w:val="20"/>
                <w:szCs w:val="20"/>
              </w:rPr>
              <w:t>Penasihat berjangka memberikan edukasi kepada klien mengenai sistem perdagangan otomatis</w:t>
            </w:r>
            <w:r>
              <w:rPr>
                <w:color w:val="000000"/>
                <w:sz w:val="20"/>
                <w:szCs w:val="20"/>
              </w:rPr>
              <w:t xml:space="preserve"> (Pasal 5 ayat 5 huruf a)</w:t>
            </w:r>
          </w:p>
        </w:tc>
        <w:tc>
          <w:tcPr>
            <w:tcW w:w="4465" w:type="dxa"/>
          </w:tcPr>
          <w:p w14:paraId="45CF4B56" w14:textId="77777777" w:rsidR="00D2370A" w:rsidRDefault="00D2370A" w:rsidP="004A706F">
            <w:pPr>
              <w:jc w:val="both"/>
              <w:rPr>
                <w:color w:val="000000"/>
                <w:sz w:val="20"/>
                <w:szCs w:val="20"/>
              </w:rPr>
            </w:pPr>
            <w:r w:rsidRPr="00170D92">
              <w:rPr>
                <w:color w:val="000000"/>
                <w:sz w:val="20"/>
                <w:szCs w:val="20"/>
              </w:rPr>
              <w:t>Penasihat berjangka tidak memberikan edukasi kepada klien mengenai sistem perdagangan otomatis</w:t>
            </w:r>
          </w:p>
        </w:tc>
      </w:tr>
      <w:tr w:rsidR="00D2370A" w14:paraId="325D4E86" w14:textId="77777777" w:rsidTr="004A706F">
        <w:trPr>
          <w:trHeight w:val="1290"/>
        </w:trPr>
        <w:tc>
          <w:tcPr>
            <w:tcW w:w="625" w:type="dxa"/>
          </w:tcPr>
          <w:p w14:paraId="16982C49" w14:textId="77777777" w:rsidR="00D2370A" w:rsidRPr="00657349" w:rsidRDefault="00D2370A" w:rsidP="004A706F">
            <w:pPr>
              <w:jc w:val="both"/>
              <w:rPr>
                <w:color w:val="000000"/>
                <w:sz w:val="20"/>
                <w:szCs w:val="20"/>
              </w:rPr>
            </w:pPr>
            <w:r>
              <w:rPr>
                <w:color w:val="000000"/>
                <w:sz w:val="20"/>
                <w:szCs w:val="20"/>
              </w:rPr>
              <w:t>7</w:t>
            </w:r>
            <w:r w:rsidRPr="00657349">
              <w:rPr>
                <w:color w:val="000000"/>
                <w:sz w:val="20"/>
                <w:szCs w:val="20"/>
              </w:rPr>
              <w:t>.</w:t>
            </w:r>
          </w:p>
        </w:tc>
        <w:tc>
          <w:tcPr>
            <w:tcW w:w="4230" w:type="dxa"/>
          </w:tcPr>
          <w:p w14:paraId="66E79AE6" w14:textId="77777777" w:rsidR="00D2370A" w:rsidRPr="00657349" w:rsidRDefault="00D2370A" w:rsidP="004A706F">
            <w:pPr>
              <w:jc w:val="both"/>
              <w:rPr>
                <w:color w:val="000000"/>
                <w:sz w:val="20"/>
                <w:szCs w:val="20"/>
              </w:rPr>
            </w:pPr>
            <w:r w:rsidRPr="00657349">
              <w:rPr>
                <w:color w:val="000000"/>
                <w:sz w:val="20"/>
                <w:szCs w:val="20"/>
              </w:rPr>
              <w:t>Memakai broker resmi atas rekomendasi dari Bappbeti dan telah mendapatkan pengesahan dari Menteri yang menyelenggarakan urusan di bidang Komunikasi dan Informasi dalam hal Robot Trading tidak dibuat atau dikembangkan sendiri (Pasal 6)</w:t>
            </w:r>
          </w:p>
        </w:tc>
        <w:tc>
          <w:tcPr>
            <w:tcW w:w="4465" w:type="dxa"/>
          </w:tcPr>
          <w:p w14:paraId="5E2E541A" w14:textId="77777777" w:rsidR="00D2370A" w:rsidRPr="00657349" w:rsidRDefault="00D2370A" w:rsidP="004A706F">
            <w:pPr>
              <w:jc w:val="both"/>
              <w:rPr>
                <w:color w:val="000000"/>
                <w:sz w:val="20"/>
                <w:szCs w:val="20"/>
              </w:rPr>
            </w:pPr>
            <w:r>
              <w:rPr>
                <w:color w:val="000000"/>
                <w:sz w:val="20"/>
                <w:szCs w:val="20"/>
              </w:rPr>
              <w:t>Penasihat berjangka</w:t>
            </w:r>
            <w:r w:rsidRPr="00657349">
              <w:rPr>
                <w:color w:val="000000"/>
                <w:sz w:val="20"/>
                <w:szCs w:val="20"/>
              </w:rPr>
              <w:t xml:space="preserve"> memakai nama broker luar negeri </w:t>
            </w:r>
            <w:r>
              <w:rPr>
                <w:color w:val="000000"/>
                <w:sz w:val="20"/>
                <w:szCs w:val="20"/>
              </w:rPr>
              <w:t xml:space="preserve">seolah-olah ada suatu perjanjian kerjasama kemudian </w:t>
            </w:r>
            <w:r w:rsidRPr="00657349">
              <w:rPr>
                <w:color w:val="000000"/>
                <w:sz w:val="20"/>
                <w:szCs w:val="20"/>
              </w:rPr>
              <w:t>dana nasabah</w:t>
            </w:r>
            <w:r>
              <w:rPr>
                <w:color w:val="000000"/>
                <w:sz w:val="20"/>
                <w:szCs w:val="20"/>
              </w:rPr>
              <w:t xml:space="preserve"> akan</w:t>
            </w:r>
            <w:r w:rsidRPr="00657349">
              <w:rPr>
                <w:color w:val="000000"/>
                <w:sz w:val="20"/>
                <w:szCs w:val="20"/>
              </w:rPr>
              <w:t xml:space="preserve"> dikelola oleh broker tersebut</w:t>
            </w:r>
            <w:r>
              <w:rPr>
                <w:color w:val="000000"/>
                <w:sz w:val="20"/>
                <w:szCs w:val="20"/>
              </w:rPr>
              <w:t>, namun</w:t>
            </w:r>
            <w:r w:rsidRPr="00657349">
              <w:rPr>
                <w:color w:val="000000"/>
                <w:sz w:val="20"/>
                <w:szCs w:val="20"/>
              </w:rPr>
              <w:t xml:space="preserve"> sebenarnya</w:t>
            </w:r>
            <w:r>
              <w:rPr>
                <w:color w:val="000000"/>
                <w:sz w:val="20"/>
                <w:szCs w:val="20"/>
              </w:rPr>
              <w:t xml:space="preserve"> dana nasabah dikelola sendiri </w:t>
            </w:r>
            <w:r w:rsidRPr="00657349">
              <w:rPr>
                <w:color w:val="000000"/>
                <w:sz w:val="20"/>
                <w:szCs w:val="20"/>
              </w:rPr>
              <w:t xml:space="preserve">oleh </w:t>
            </w:r>
            <w:r>
              <w:rPr>
                <w:color w:val="000000"/>
                <w:sz w:val="20"/>
                <w:szCs w:val="20"/>
              </w:rPr>
              <w:t xml:space="preserve">pihak </w:t>
            </w:r>
            <w:r w:rsidRPr="00657349">
              <w:rPr>
                <w:color w:val="000000"/>
                <w:sz w:val="20"/>
                <w:szCs w:val="20"/>
              </w:rPr>
              <w:t xml:space="preserve">penasihat berjangka </w:t>
            </w:r>
          </w:p>
        </w:tc>
      </w:tr>
      <w:tr w:rsidR="00D2370A" w14:paraId="0C68CDCC" w14:textId="77777777" w:rsidTr="004A706F">
        <w:trPr>
          <w:trHeight w:val="1209"/>
        </w:trPr>
        <w:tc>
          <w:tcPr>
            <w:tcW w:w="625" w:type="dxa"/>
          </w:tcPr>
          <w:p w14:paraId="409A45CB" w14:textId="77777777" w:rsidR="00D2370A" w:rsidRPr="00846778" w:rsidRDefault="00D2370A" w:rsidP="004A706F">
            <w:pPr>
              <w:jc w:val="both"/>
              <w:rPr>
                <w:color w:val="000000"/>
                <w:sz w:val="20"/>
                <w:szCs w:val="20"/>
              </w:rPr>
            </w:pPr>
            <w:r w:rsidRPr="00846778">
              <w:rPr>
                <w:color w:val="000000"/>
                <w:sz w:val="20"/>
                <w:szCs w:val="20"/>
              </w:rPr>
              <w:t>8.</w:t>
            </w:r>
          </w:p>
        </w:tc>
        <w:tc>
          <w:tcPr>
            <w:tcW w:w="4230" w:type="dxa"/>
          </w:tcPr>
          <w:p w14:paraId="797451C9" w14:textId="77777777" w:rsidR="00D2370A" w:rsidRPr="00846778" w:rsidRDefault="00D2370A" w:rsidP="004A706F">
            <w:pPr>
              <w:jc w:val="both"/>
              <w:rPr>
                <w:color w:val="000000"/>
                <w:sz w:val="20"/>
                <w:szCs w:val="20"/>
              </w:rPr>
            </w:pPr>
            <w:r w:rsidRPr="00846778">
              <w:rPr>
                <w:color w:val="000000"/>
                <w:sz w:val="20"/>
                <w:szCs w:val="20"/>
              </w:rPr>
              <w:t>Penasihat berjangka wajib membuat perjanjian dengan klien dan</w:t>
            </w:r>
            <w:r w:rsidRPr="00846778">
              <w:t xml:space="preserve"> </w:t>
            </w:r>
            <w:r w:rsidRPr="00846778">
              <w:rPr>
                <w:color w:val="000000"/>
                <w:sz w:val="20"/>
                <w:szCs w:val="20"/>
              </w:rPr>
              <w:t>menyediakan formulir yang ditandatangani oleh Klien yang berisi pernyataan bahwa Penasihat Berjangka tidak dapat dimintakan pertanggungjawaban atas semua r</w:t>
            </w:r>
            <w:r>
              <w:rPr>
                <w:color w:val="000000"/>
                <w:sz w:val="20"/>
                <w:szCs w:val="20"/>
              </w:rPr>
              <w:t>e</w:t>
            </w:r>
            <w:r w:rsidRPr="00846778">
              <w:rPr>
                <w:color w:val="000000"/>
                <w:sz w:val="20"/>
                <w:szCs w:val="20"/>
              </w:rPr>
              <w:t xml:space="preserve">siko dan kerugian yang terjadi akibat perdagangan tersebut (Pasal 7 ayat 1 dan 2) </w:t>
            </w:r>
          </w:p>
        </w:tc>
        <w:tc>
          <w:tcPr>
            <w:tcW w:w="4465" w:type="dxa"/>
          </w:tcPr>
          <w:p w14:paraId="7E729270" w14:textId="77777777" w:rsidR="00D2370A" w:rsidRPr="00846778" w:rsidRDefault="00D2370A" w:rsidP="004A706F">
            <w:pPr>
              <w:jc w:val="both"/>
              <w:rPr>
                <w:color w:val="000000"/>
                <w:sz w:val="20"/>
                <w:szCs w:val="20"/>
              </w:rPr>
            </w:pPr>
            <w:r w:rsidRPr="00846778">
              <w:rPr>
                <w:color w:val="000000"/>
                <w:sz w:val="20"/>
                <w:szCs w:val="20"/>
              </w:rPr>
              <w:t>Tidak ada perjanjian tertulis yang dibuat penasihat berjangka dengan klien</w:t>
            </w:r>
          </w:p>
        </w:tc>
      </w:tr>
    </w:tbl>
    <w:p w14:paraId="5DD55206" w14:textId="77777777" w:rsidR="00D2370A" w:rsidRPr="002A4947" w:rsidRDefault="00D2370A" w:rsidP="00D2370A">
      <w:pPr>
        <w:pBdr>
          <w:top w:val="nil"/>
          <w:left w:val="nil"/>
          <w:bottom w:val="nil"/>
          <w:right w:val="nil"/>
          <w:between w:val="nil"/>
        </w:pBdr>
        <w:jc w:val="center"/>
        <w:rPr>
          <w:color w:val="000000"/>
          <w:sz w:val="20"/>
          <w:szCs w:val="20"/>
          <w:lang w:val="en-US"/>
        </w:rPr>
      </w:pPr>
      <w:r>
        <w:rPr>
          <w:b/>
          <w:bCs/>
          <w:color w:val="000000"/>
          <w:sz w:val="20"/>
          <w:szCs w:val="20"/>
          <w:lang w:val="en-US"/>
        </w:rPr>
        <w:t xml:space="preserve">Tabel 3. </w:t>
      </w:r>
      <w:r>
        <w:rPr>
          <w:color w:val="000000"/>
          <w:sz w:val="20"/>
          <w:szCs w:val="20"/>
          <w:lang w:val="en-US"/>
        </w:rPr>
        <w:t xml:space="preserve">Karakteristik robot </w:t>
      </w:r>
      <w:r>
        <w:rPr>
          <w:i/>
          <w:iCs/>
          <w:color w:val="000000"/>
          <w:sz w:val="20"/>
          <w:szCs w:val="20"/>
          <w:lang w:val="en-US"/>
        </w:rPr>
        <w:t xml:space="preserve">trading </w:t>
      </w:r>
      <w:r>
        <w:rPr>
          <w:color w:val="000000"/>
          <w:sz w:val="20"/>
          <w:szCs w:val="20"/>
          <w:lang w:val="en-US"/>
        </w:rPr>
        <w:t>legal dan ilegal</w:t>
      </w:r>
    </w:p>
    <w:p w14:paraId="3352D2D7" w14:textId="77777777" w:rsidR="00D2370A" w:rsidRDefault="00D2370A"/>
    <w:sectPr w:rsidR="00D237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70A"/>
    <w:rsid w:val="00D23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5181D"/>
  <w15:chartTrackingRefBased/>
  <w15:docId w15:val="{E37346EB-0E82-4AD8-BCD5-C27FDE2C0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70A"/>
    <w:pPr>
      <w:suppressAutoHyphens/>
      <w:spacing w:after="0" w:line="240" w:lineRule="auto"/>
    </w:pPr>
    <w:rPr>
      <w:rFonts w:ascii="Times New Roman" w:eastAsia="Times New Roman" w:hAnsi="Times New Roman" w:cs="Times New Roman"/>
      <w:kern w:val="0"/>
      <w:sz w:val="24"/>
      <w:szCs w:val="24"/>
      <w:lang w:val="id-ID"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370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1779</Characters>
  <Application>Microsoft Office Word</Application>
  <DocSecurity>0</DocSecurity>
  <Lines>14</Lines>
  <Paragraphs>4</Paragraphs>
  <ScaleCrop>false</ScaleCrop>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arini desita sari</dc:creator>
  <cp:keywords/>
  <dc:description/>
  <cp:lastModifiedBy>arini desita sari</cp:lastModifiedBy>
  <cp:revision>1</cp:revision>
  <dcterms:created xsi:type="dcterms:W3CDTF">2023-08-07T17:01:00Z</dcterms:created>
  <dcterms:modified xsi:type="dcterms:W3CDTF">2023-08-07T17:02:00Z</dcterms:modified>
</cp:coreProperties>
</file>